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4E4" w:rsidRPr="00A544E4" w:rsidRDefault="00A544E4" w:rsidP="00A544E4">
      <w:pPr>
        <w:shd w:val="clear" w:color="auto" w:fill="FFFFFF"/>
        <w:spacing w:after="144" w:line="394" w:lineRule="atLeast"/>
        <w:jc w:val="center"/>
        <w:outlineLvl w:val="0"/>
        <w:rPr>
          <w:rFonts w:ascii="Arial" w:eastAsia="Times New Roman" w:hAnsi="Arial" w:cs="Arial"/>
          <w:b/>
          <w:bCs/>
          <w:color w:val="000000"/>
          <w:kern w:val="36"/>
          <w:sz w:val="26"/>
          <w:szCs w:val="26"/>
          <w:lang w:eastAsia="ru-RU"/>
        </w:rPr>
      </w:pPr>
      <w:bookmarkStart w:id="0" w:name="_GoBack"/>
      <w:bookmarkEnd w:id="0"/>
      <w:r w:rsidRPr="00A544E4">
        <w:rPr>
          <w:rFonts w:ascii="Arial" w:eastAsia="Times New Roman" w:hAnsi="Arial" w:cs="Arial"/>
          <w:b/>
          <w:bCs/>
          <w:color w:val="000000"/>
          <w:kern w:val="36"/>
          <w:sz w:val="26"/>
          <w:szCs w:val="26"/>
          <w:lang w:eastAsia="ru-RU"/>
        </w:rPr>
        <w:t>X. Правила организации учета электрической энергии</w:t>
      </w:r>
    </w:p>
    <w:p w:rsidR="00A544E4" w:rsidRPr="00A544E4" w:rsidRDefault="00A544E4" w:rsidP="00A544E4">
      <w:pPr>
        <w:shd w:val="clear" w:color="auto" w:fill="FFFFFF"/>
        <w:spacing w:after="144" w:line="394" w:lineRule="atLeast"/>
        <w:jc w:val="center"/>
        <w:outlineLvl w:val="0"/>
        <w:rPr>
          <w:rFonts w:ascii="Arial" w:eastAsia="Times New Roman" w:hAnsi="Arial" w:cs="Arial"/>
          <w:b/>
          <w:bCs/>
          <w:color w:val="000000"/>
          <w:kern w:val="36"/>
          <w:sz w:val="26"/>
          <w:szCs w:val="26"/>
          <w:lang w:eastAsia="ru-RU"/>
        </w:rPr>
      </w:pPr>
      <w:r w:rsidRPr="00A544E4">
        <w:rPr>
          <w:rFonts w:ascii="Arial" w:eastAsia="Times New Roman" w:hAnsi="Arial" w:cs="Arial"/>
          <w:b/>
          <w:bCs/>
          <w:color w:val="000000"/>
          <w:kern w:val="36"/>
          <w:sz w:val="26"/>
          <w:szCs w:val="26"/>
          <w:lang w:eastAsia="ru-RU"/>
        </w:rPr>
        <w:t>на розничных рынках</w:t>
      </w:r>
    </w:p>
    <w:p w:rsidR="00A544E4" w:rsidRPr="00A544E4" w:rsidRDefault="00A544E4" w:rsidP="00A544E4">
      <w:pPr>
        <w:shd w:val="clear" w:color="auto" w:fill="FFFFFF"/>
        <w:spacing w:after="0" w:line="240" w:lineRule="auto"/>
        <w:jc w:val="center"/>
        <w:rPr>
          <w:rFonts w:ascii="Arial" w:eastAsia="Times New Roman" w:hAnsi="Arial" w:cs="Arial"/>
          <w:color w:val="000000"/>
          <w:sz w:val="26"/>
          <w:szCs w:val="26"/>
          <w:lang w:eastAsia="ru-RU"/>
        </w:rPr>
      </w:pPr>
      <w:r w:rsidRPr="00A544E4">
        <w:rPr>
          <w:rFonts w:ascii="Arial" w:eastAsia="Times New Roman" w:hAnsi="Arial" w:cs="Arial"/>
          <w:color w:val="000000"/>
          <w:sz w:val="26"/>
          <w:szCs w:val="26"/>
          <w:lang w:eastAsia="ru-RU"/>
        </w:rPr>
        <w:t>(в ред. </w:t>
      </w:r>
      <w:hyperlink r:id="rId4" w:anchor="dst100067" w:history="1">
        <w:r w:rsidRPr="00A544E4">
          <w:rPr>
            <w:rFonts w:ascii="Arial" w:eastAsia="Times New Roman" w:hAnsi="Arial" w:cs="Arial"/>
            <w:color w:val="666699"/>
            <w:sz w:val="26"/>
            <w:szCs w:val="26"/>
            <w:u w:val="single"/>
            <w:lang w:eastAsia="ru-RU"/>
          </w:rPr>
          <w:t>Постановления</w:t>
        </w:r>
      </w:hyperlink>
      <w:r w:rsidRPr="00A544E4">
        <w:rPr>
          <w:rFonts w:ascii="Arial" w:eastAsia="Times New Roman" w:hAnsi="Arial" w:cs="Arial"/>
          <w:color w:val="000000"/>
          <w:sz w:val="26"/>
          <w:szCs w:val="26"/>
          <w:lang w:eastAsia="ru-RU"/>
        </w:rPr>
        <w:t> Правительства РФ от 18.04.2020 N 554)</w:t>
      </w:r>
    </w:p>
    <w:p w:rsidR="00A544E4" w:rsidRPr="00A544E4" w:rsidRDefault="00A544E4" w:rsidP="00A544E4">
      <w:pPr>
        <w:shd w:val="clear" w:color="auto" w:fill="FFFFFF"/>
        <w:spacing w:after="0" w:line="315" w:lineRule="atLeast"/>
        <w:ind w:firstLine="540"/>
        <w:jc w:val="both"/>
        <w:rPr>
          <w:rFonts w:ascii="Arial" w:eastAsia="Times New Roman" w:hAnsi="Arial" w:cs="Arial"/>
          <w:color w:val="000000"/>
          <w:sz w:val="26"/>
          <w:szCs w:val="26"/>
          <w:lang w:eastAsia="ru-RU"/>
        </w:rPr>
      </w:pPr>
      <w:r w:rsidRPr="00A544E4">
        <w:rPr>
          <w:rFonts w:ascii="Arial" w:eastAsia="Times New Roman" w:hAnsi="Arial" w:cs="Arial"/>
          <w:color w:val="000000"/>
          <w:sz w:val="26"/>
          <w:szCs w:val="26"/>
          <w:lang w:eastAsia="ru-RU"/>
        </w:rPr>
        <w:t> </w:t>
      </w:r>
    </w:p>
    <w:p w:rsidR="00A544E4" w:rsidRPr="00A544E4" w:rsidRDefault="00A544E4" w:rsidP="00A544E4">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 w:name="dst1796"/>
      <w:bookmarkEnd w:id="1"/>
      <w:r w:rsidRPr="00A544E4">
        <w:rPr>
          <w:rFonts w:ascii="Arial" w:eastAsia="Times New Roman" w:hAnsi="Arial" w:cs="Arial"/>
          <w:color w:val="000000"/>
          <w:sz w:val="26"/>
          <w:szCs w:val="26"/>
          <w:lang w:eastAsia="ru-RU"/>
        </w:rPr>
        <w:t>136. Гарантирующие поставщики и сетевые организации обеспечивают коммерческий учет электрической энергии (мощности) на розничных рынках, в том числе путем приобретения, установки, замены, допуска в эксплуатацию приборов учета электрической энергии и (или) иного оборудования, а также нематериальных активов, которые необходимы для обеспечения коммерческого учета электрической энергии (мощности), и последующей их эксплуатации, том числе посредством интеллектуальных систем учета электрической энергии (мощности):</w:t>
      </w:r>
    </w:p>
    <w:p w:rsidR="00A544E4" w:rsidRPr="00A544E4" w:rsidRDefault="00A544E4" w:rsidP="00A544E4">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 w:name="dst1797"/>
      <w:bookmarkEnd w:id="2"/>
      <w:r w:rsidRPr="00A544E4">
        <w:rPr>
          <w:rFonts w:ascii="Arial" w:eastAsia="Times New Roman" w:hAnsi="Arial" w:cs="Arial"/>
          <w:color w:val="000000"/>
          <w:sz w:val="26"/>
          <w:szCs w:val="26"/>
          <w:lang w:eastAsia="ru-RU"/>
        </w:rPr>
        <w:t>при отсутствии, выходе из строя, утрате, истечении срока эксплуатации или истечении интервала между поверками приборов учета электрической энергии и (или) иного оборудования, которые используются для коммерческого учета электрической энергии (мощности), в том числе не принадлежащих сетевой организации (гарантирующему поставщику);</w:t>
      </w:r>
    </w:p>
    <w:p w:rsidR="00A544E4" w:rsidRPr="00A544E4" w:rsidRDefault="00A544E4" w:rsidP="00A544E4">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 w:name="dst1798"/>
      <w:bookmarkEnd w:id="3"/>
      <w:r w:rsidRPr="00A544E4">
        <w:rPr>
          <w:rFonts w:ascii="Arial" w:eastAsia="Times New Roman" w:hAnsi="Arial" w:cs="Arial"/>
          <w:color w:val="000000"/>
          <w:sz w:val="26"/>
          <w:szCs w:val="26"/>
          <w:lang w:eastAsia="ru-RU"/>
        </w:rPr>
        <w:t xml:space="preserve">в процессе технологического присоединения </w:t>
      </w:r>
      <w:proofErr w:type="spellStart"/>
      <w:r w:rsidRPr="00A544E4">
        <w:rPr>
          <w:rFonts w:ascii="Arial" w:eastAsia="Times New Roman" w:hAnsi="Arial" w:cs="Arial"/>
          <w:color w:val="000000"/>
          <w:sz w:val="26"/>
          <w:szCs w:val="26"/>
          <w:lang w:eastAsia="ru-RU"/>
        </w:rPr>
        <w:t>энергопринимающих</w:t>
      </w:r>
      <w:proofErr w:type="spellEnd"/>
      <w:r w:rsidRPr="00A544E4">
        <w:rPr>
          <w:rFonts w:ascii="Arial" w:eastAsia="Times New Roman" w:hAnsi="Arial" w:cs="Arial"/>
          <w:color w:val="000000"/>
          <w:sz w:val="26"/>
          <w:szCs w:val="26"/>
          <w:lang w:eastAsia="ru-RU"/>
        </w:rPr>
        <w:t xml:space="preserve"> устройств (объектов электросетевого хозяйства, объектов по производству электрической энергии (мощности), за исключением установленных Федеральным </w:t>
      </w:r>
      <w:hyperlink r:id="rId5" w:anchor="dst0" w:history="1">
        <w:r w:rsidRPr="00A544E4">
          <w:rPr>
            <w:rFonts w:ascii="Arial" w:eastAsia="Times New Roman" w:hAnsi="Arial" w:cs="Arial"/>
            <w:color w:val="666699"/>
            <w:sz w:val="26"/>
            <w:szCs w:val="26"/>
            <w:u w:val="single"/>
            <w:lang w:eastAsia="ru-RU"/>
          </w:rPr>
          <w:t>законом</w:t>
        </w:r>
      </w:hyperlink>
      <w:r w:rsidRPr="00A544E4">
        <w:rPr>
          <w:rFonts w:ascii="Arial" w:eastAsia="Times New Roman" w:hAnsi="Arial" w:cs="Arial"/>
          <w:color w:val="000000"/>
          <w:sz w:val="26"/>
          <w:szCs w:val="26"/>
          <w:lang w:eastAsia="ru-RU"/>
        </w:rPr>
        <w:t> "Об электроэнергетике" случаев оснащения вводимых в эксплуатацию многоквартирных жилых домов индивидуальными, общими (для коммунальной квартиры) и коллективными (общедомовыми) приборами учета электрической энергии, которые обеспечивают возможность их присоединения к интеллектуальным системам учета электрической энергии (мощности).</w:t>
      </w:r>
    </w:p>
    <w:p w:rsidR="00A544E4" w:rsidRPr="00A544E4" w:rsidRDefault="00A544E4" w:rsidP="00A544E4">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4" w:name="dst1799"/>
      <w:bookmarkEnd w:id="4"/>
      <w:r w:rsidRPr="00A544E4">
        <w:rPr>
          <w:rFonts w:ascii="Arial" w:eastAsia="Times New Roman" w:hAnsi="Arial" w:cs="Arial"/>
          <w:color w:val="000000"/>
          <w:sz w:val="26"/>
          <w:szCs w:val="26"/>
          <w:lang w:eastAsia="ru-RU"/>
        </w:rPr>
        <w:t xml:space="preserve">Сетевые организации обеспечивают коммерческий учет электрической энергии (мощности)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 </w:t>
      </w:r>
      <w:proofErr w:type="spellStart"/>
      <w:r w:rsidRPr="00A544E4">
        <w:rPr>
          <w:rFonts w:ascii="Arial" w:eastAsia="Times New Roman" w:hAnsi="Arial" w:cs="Arial"/>
          <w:color w:val="000000"/>
          <w:sz w:val="26"/>
          <w:szCs w:val="26"/>
          <w:lang w:eastAsia="ru-RU"/>
        </w:rPr>
        <w:t>энергопринимающих</w:t>
      </w:r>
      <w:proofErr w:type="spellEnd"/>
      <w:r w:rsidRPr="00A544E4">
        <w:rPr>
          <w:rFonts w:ascii="Arial" w:eastAsia="Times New Roman" w:hAnsi="Arial" w:cs="Arial"/>
          <w:color w:val="000000"/>
          <w:sz w:val="26"/>
          <w:szCs w:val="26"/>
          <w:lang w:eastAsia="ru-RU"/>
        </w:rPr>
        <w:t xml:space="preserve"> устройств потребителей электрической энергии (мощности) (за исключением установки и замены коллективных (общедомовых) приборов учета электрической энергии), приобретающих электрическую энергию на розничных рынках, объектов по производству электрической энергии (мощности) на розничных рынках и объектов электросетевого хозяйства.</w:t>
      </w:r>
    </w:p>
    <w:p w:rsidR="00A544E4" w:rsidRPr="00A544E4" w:rsidRDefault="00A544E4" w:rsidP="00A544E4">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5" w:name="dst1800"/>
      <w:bookmarkEnd w:id="5"/>
      <w:r w:rsidRPr="00A544E4">
        <w:rPr>
          <w:rFonts w:ascii="Arial" w:eastAsia="Times New Roman" w:hAnsi="Arial" w:cs="Arial"/>
          <w:color w:val="000000"/>
          <w:sz w:val="26"/>
          <w:szCs w:val="26"/>
          <w:lang w:eastAsia="ru-RU"/>
        </w:rPr>
        <w:t xml:space="preserve">При этом соответствующие обязанности в точках присоединения объектов электросетевого хозяйства одной сетевой организации к объектам электросетевого хозяйства другой сетевой организации, если иное не установлено соглашением между такими сетевыми организациями, возлагаются на ту сетевую организацию, центры питания которой по отношению к такой точке присоединения имеют более высокий класс напряжения, а при равенстве классов напряжения центров питания - на сетевую организацию, чей объект электросетевого хозяйства, в котором </w:t>
      </w:r>
      <w:r w:rsidRPr="00A544E4">
        <w:rPr>
          <w:rFonts w:ascii="Arial" w:eastAsia="Times New Roman" w:hAnsi="Arial" w:cs="Arial"/>
          <w:color w:val="000000"/>
          <w:sz w:val="26"/>
          <w:szCs w:val="26"/>
          <w:lang w:eastAsia="ru-RU"/>
        </w:rPr>
        <w:lastRenderedPageBreak/>
        <w:t>имеется техническая возможность установки прибора учета, находится ближе к точке присоединения.</w:t>
      </w:r>
    </w:p>
    <w:p w:rsidR="00A544E4" w:rsidRPr="00A544E4" w:rsidRDefault="00A544E4" w:rsidP="00A544E4">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6" w:name="dst1801"/>
      <w:bookmarkEnd w:id="6"/>
      <w:r w:rsidRPr="00A544E4">
        <w:rPr>
          <w:rFonts w:ascii="Arial" w:eastAsia="Times New Roman" w:hAnsi="Arial" w:cs="Arial"/>
          <w:color w:val="000000"/>
          <w:sz w:val="26"/>
          <w:szCs w:val="26"/>
          <w:lang w:eastAsia="ru-RU"/>
        </w:rPr>
        <w:t>Гарантирующие поставщики обеспечивают коммерческий учет электрической энергии (мощности) на розничных рынках в отношении расположенных в их зоне деятельности многоквартирных домов (за исключением помещений многоквартирных домов, электроснабжение которых осуществляется без использования общего имущества), включая установку коллективных (общедомовых) приборов учета электрической энергии.</w:t>
      </w:r>
    </w:p>
    <w:p w:rsidR="00A544E4" w:rsidRPr="00A544E4" w:rsidRDefault="00A544E4" w:rsidP="00A544E4">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7" w:name="dst1802"/>
      <w:bookmarkEnd w:id="7"/>
      <w:r w:rsidRPr="00A544E4">
        <w:rPr>
          <w:rFonts w:ascii="Arial" w:eastAsia="Times New Roman" w:hAnsi="Arial" w:cs="Arial"/>
          <w:color w:val="000000"/>
          <w:sz w:val="26"/>
          <w:szCs w:val="26"/>
          <w:lang w:eastAsia="ru-RU"/>
        </w:rPr>
        <w:t>Под эксплуатацией прибора учета для целей настоящего документа понимается выполнение действий, обеспечивающих функционирование прибора учета и (или) иного оборудования, используемых для обеспечения коммерческого учета электрической энергии (мощности), в соответствии с его назначением на всех стадиях его жизненного цикла со дня допуска в эксплуатацию и до выхода из строя, включающих в том числе осмотры прибора учета и (или) иного оборудования, используемых для обеспечения коммерческого учета электрической энергии (мощности), а также техническое обслуживание прибора учета и (или) иного оборудования (при необходимости) и проведение своевременной поверки.</w:t>
      </w:r>
    </w:p>
    <w:p w:rsidR="00A544E4" w:rsidRPr="00A544E4" w:rsidRDefault="00A544E4" w:rsidP="00A544E4">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8" w:name="dst1803"/>
      <w:bookmarkEnd w:id="8"/>
      <w:r w:rsidRPr="00A544E4">
        <w:rPr>
          <w:rFonts w:ascii="Arial" w:eastAsia="Times New Roman" w:hAnsi="Arial" w:cs="Arial"/>
          <w:color w:val="000000"/>
          <w:sz w:val="26"/>
          <w:szCs w:val="26"/>
          <w:lang w:eastAsia="ru-RU"/>
        </w:rPr>
        <w:t>Под допуском прибора учета в эксплуатацию в целях применения настоящего документа понимается процедура, в ходе которой проверяется и определяется готовность прибора учета к его использованию при осуществлении расчетов за электрическую энергию (мощность) и которая завершается документальным оформлением результатов допуска.</w:t>
      </w:r>
    </w:p>
    <w:p w:rsidR="00A544E4" w:rsidRPr="00A544E4" w:rsidRDefault="00A544E4" w:rsidP="00A544E4">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9" w:name="dst1804"/>
      <w:bookmarkEnd w:id="9"/>
      <w:r w:rsidRPr="00A544E4">
        <w:rPr>
          <w:rFonts w:ascii="Arial" w:eastAsia="Times New Roman" w:hAnsi="Arial" w:cs="Arial"/>
          <w:color w:val="000000"/>
          <w:sz w:val="26"/>
          <w:szCs w:val="26"/>
          <w:lang w:eastAsia="ru-RU"/>
        </w:rPr>
        <w:t>Под установкой прибора учета для целей настоящего документа понимаются работы по монтажу такого прибора учета и (или) иного оборудования, которые необходимы для обеспечения коммерческого учета электрической энергии (мощности) в точке поставки.</w:t>
      </w:r>
    </w:p>
    <w:p w:rsidR="00A544E4" w:rsidRPr="00A544E4" w:rsidRDefault="00A544E4" w:rsidP="00A544E4">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0" w:name="dst1805"/>
      <w:bookmarkEnd w:id="10"/>
      <w:proofErr w:type="gramStart"/>
      <w:r w:rsidRPr="00A544E4">
        <w:rPr>
          <w:rFonts w:ascii="Arial" w:eastAsia="Times New Roman" w:hAnsi="Arial" w:cs="Arial"/>
          <w:color w:val="000000"/>
          <w:sz w:val="26"/>
          <w:szCs w:val="26"/>
          <w:lang w:eastAsia="ru-RU"/>
        </w:rPr>
        <w:t>Под заменой прибора</w:t>
      </w:r>
      <w:proofErr w:type="gramEnd"/>
      <w:r w:rsidRPr="00A544E4">
        <w:rPr>
          <w:rFonts w:ascii="Arial" w:eastAsia="Times New Roman" w:hAnsi="Arial" w:cs="Arial"/>
          <w:color w:val="000000"/>
          <w:sz w:val="26"/>
          <w:szCs w:val="26"/>
          <w:lang w:eastAsia="ru-RU"/>
        </w:rPr>
        <w:t xml:space="preserve"> учета для целей настоящего документа понимаются работы по демонтажу ранее установленного прибора учета и (или) иного оборудования, которые используются для обеспечения коммерческого учета электрической энергии (мощности) и работы по установке прибора учета.</w:t>
      </w:r>
    </w:p>
    <w:p w:rsidR="00A544E4" w:rsidRPr="00A544E4" w:rsidRDefault="00A544E4" w:rsidP="00A544E4">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1" w:name="dst1806"/>
      <w:bookmarkEnd w:id="11"/>
      <w:r w:rsidRPr="00A544E4">
        <w:rPr>
          <w:rFonts w:ascii="Arial" w:eastAsia="Times New Roman" w:hAnsi="Arial" w:cs="Arial"/>
          <w:color w:val="000000"/>
          <w:sz w:val="26"/>
          <w:szCs w:val="26"/>
          <w:lang w:eastAsia="ru-RU"/>
        </w:rPr>
        <w:t xml:space="preserve">Под утратой прибора учета для целей настоящего постановления понимается отсутствие результатов измерений и информации о состоянии такого прибора учета по истечении 180 дней с даты последнего снятия показаний с прибора учета, в том числе вследствие двукратного </w:t>
      </w:r>
      <w:proofErr w:type="spellStart"/>
      <w:r w:rsidRPr="00A544E4">
        <w:rPr>
          <w:rFonts w:ascii="Arial" w:eastAsia="Times New Roman" w:hAnsi="Arial" w:cs="Arial"/>
          <w:color w:val="000000"/>
          <w:sz w:val="26"/>
          <w:szCs w:val="26"/>
          <w:lang w:eastAsia="ru-RU"/>
        </w:rPr>
        <w:t>недопуска</w:t>
      </w:r>
      <w:proofErr w:type="spellEnd"/>
      <w:r w:rsidRPr="00A544E4">
        <w:rPr>
          <w:rFonts w:ascii="Arial" w:eastAsia="Times New Roman" w:hAnsi="Arial" w:cs="Arial"/>
          <w:color w:val="000000"/>
          <w:sz w:val="26"/>
          <w:szCs w:val="26"/>
          <w:lang w:eastAsia="ru-RU"/>
        </w:rPr>
        <w:t xml:space="preserve"> сетевой организации (гарантирующего поставщика - в отношении коллективного (общедомового) прибора учета) к месту установки прибора учета в целях исполнения возложенных на соответствующего субъекта обязанностей.</w:t>
      </w:r>
    </w:p>
    <w:p w:rsidR="00A544E4" w:rsidRPr="00A544E4" w:rsidRDefault="00A544E4" w:rsidP="00A544E4">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2" w:name="dst1807"/>
      <w:bookmarkEnd w:id="12"/>
      <w:r w:rsidRPr="00A544E4">
        <w:rPr>
          <w:rFonts w:ascii="Arial" w:eastAsia="Times New Roman" w:hAnsi="Arial" w:cs="Arial"/>
          <w:color w:val="000000"/>
          <w:sz w:val="26"/>
          <w:szCs w:val="26"/>
          <w:lang w:eastAsia="ru-RU"/>
        </w:rPr>
        <w:t xml:space="preserve">Расходы гарантирующих поставщиков и сетевых организаций, понесенные ими для исполнения обязанностей, указанных в настоящем разделе, учитываются в составе сбытовых надбавок гарантирующих поставщиков, тарифов на услуги по передаче электрической энергии и плате за технологическое присоединение в соответствии с Основами </w:t>
      </w:r>
      <w:r w:rsidRPr="00A544E4">
        <w:rPr>
          <w:rFonts w:ascii="Arial" w:eastAsia="Times New Roman" w:hAnsi="Arial" w:cs="Arial"/>
          <w:color w:val="000000"/>
          <w:sz w:val="26"/>
          <w:szCs w:val="26"/>
          <w:lang w:eastAsia="ru-RU"/>
        </w:rPr>
        <w:lastRenderedPageBreak/>
        <w:t>ценообразования в области регулируемых цен (тарифов) в электроэнергетике. Не допускается взимание отдельной (дополнительной) платы с субъектов розничных рынков в связи с выполнением соответствующих обязанностей.</w:t>
      </w:r>
    </w:p>
    <w:p w:rsidR="00A544E4" w:rsidRPr="00A544E4" w:rsidRDefault="00A544E4" w:rsidP="00A544E4">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3" w:name="dst1808"/>
      <w:bookmarkEnd w:id="13"/>
      <w:r w:rsidRPr="00A544E4">
        <w:rPr>
          <w:rFonts w:ascii="Arial" w:eastAsia="Times New Roman" w:hAnsi="Arial" w:cs="Arial"/>
          <w:color w:val="000000"/>
          <w:sz w:val="26"/>
          <w:szCs w:val="26"/>
          <w:lang w:eastAsia="ru-RU"/>
        </w:rPr>
        <w:t>Сетевые организации (гарантирующие поставщики) вправе за отдельную плату осуществлять установку, замену приборов учета до истечения их срока поверки или эксплуатации в случаях, не связанных с утратой, выходом из строя или неисправностью прибора учета, при обращении потребителя, производителя электрической энергии (мощности) на розничном рынке, а также предоставлять услуги, не включенные в минимальный набор функций интеллектуальных систем учета электрической энергии (мощности), с использованием приборов учета и результатов измерений таких приборов учета.</w:t>
      </w:r>
    </w:p>
    <w:p w:rsidR="00A544E4" w:rsidRPr="00A544E4" w:rsidRDefault="00A544E4" w:rsidP="00A544E4">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4" w:name="dst2251"/>
      <w:bookmarkEnd w:id="14"/>
      <w:r w:rsidRPr="00A544E4">
        <w:rPr>
          <w:rFonts w:ascii="Arial" w:eastAsia="Times New Roman" w:hAnsi="Arial" w:cs="Arial"/>
          <w:color w:val="000000"/>
          <w:sz w:val="26"/>
          <w:szCs w:val="26"/>
          <w:lang w:eastAsia="ru-RU"/>
        </w:rPr>
        <w:t>В целях обеспечения коммерческого учета электрической энергии (мощности) на розничных рынках до 1 января 2022 г. гарантирующие поставщики в отношении коллективных (общедомовых) приборов учета электрической энергии и сетевые организации при истечении интервала между поверками приборов учета электрической энергии, в том числе не принадлежащих гарантирующему поставщику (сетевой организации), вправе в порядке, установленном законодательством Российской Федерации об обеспечении единства измерений, осуществлять их 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сопутствующие расходы несут гарантирующие поставщики и сетевые организации. С даты истечения интервала между поверками приборов учета электрической энергии и до даты проведения поверки соответствующего прибора учета его показания используются для определения объемов потребления (производства) электрической энергии (мощности) на розничных рынках, оказанных услуг по передаче электрической энергии, а также фактических потерь электрической энергии в объектах электросетевого хозяйства. В случае если в результате поверки прибора учета электрической энергии в </w:t>
      </w:r>
      <w:hyperlink r:id="rId6" w:anchor="dst100127" w:history="1">
        <w:r w:rsidRPr="00A544E4">
          <w:rPr>
            <w:rFonts w:ascii="Arial" w:eastAsia="Times New Roman" w:hAnsi="Arial" w:cs="Arial"/>
            <w:color w:val="666699"/>
            <w:sz w:val="26"/>
            <w:szCs w:val="26"/>
            <w:u w:val="single"/>
            <w:lang w:eastAsia="ru-RU"/>
          </w:rPr>
          <w:t>порядке</w:t>
        </w:r>
      </w:hyperlink>
      <w:r w:rsidRPr="00A544E4">
        <w:rPr>
          <w:rFonts w:ascii="Arial" w:eastAsia="Times New Roman" w:hAnsi="Arial" w:cs="Arial"/>
          <w:color w:val="000000"/>
          <w:sz w:val="26"/>
          <w:szCs w:val="26"/>
          <w:lang w:eastAsia="ru-RU"/>
        </w:rPr>
        <w:t>, установленном законодательством Российской Федерации об обеспечении единства измерений, не подтверждено его соответствие метрологическим требованиям, то объем потребления (производства) электрической энергии (мощности) на розничных рынках, оказанных услуг по передаче электрической энергии, а также фактических потерь электрической энергии в объектах электросетевого хозяйства должен быть пересчитан за указанный период в порядке, предусмотренном </w:t>
      </w:r>
      <w:hyperlink r:id="rId7" w:anchor="dst1826" w:history="1">
        <w:r w:rsidRPr="00A544E4">
          <w:rPr>
            <w:rFonts w:ascii="Arial" w:eastAsia="Times New Roman" w:hAnsi="Arial" w:cs="Arial"/>
            <w:color w:val="666699"/>
            <w:sz w:val="26"/>
            <w:szCs w:val="26"/>
            <w:u w:val="single"/>
            <w:lang w:eastAsia="ru-RU"/>
          </w:rPr>
          <w:t>пунктом 140</w:t>
        </w:r>
      </w:hyperlink>
      <w:r w:rsidRPr="00A544E4">
        <w:rPr>
          <w:rFonts w:ascii="Arial" w:eastAsia="Times New Roman" w:hAnsi="Arial" w:cs="Arial"/>
          <w:color w:val="000000"/>
          <w:sz w:val="26"/>
          <w:szCs w:val="26"/>
          <w:lang w:eastAsia="ru-RU"/>
        </w:rPr>
        <w:t> настоящего документа, исходя из замещающей информации, а в отношении коллективных (общедомовых) приборов учета электрической энергии - </w:t>
      </w:r>
      <w:hyperlink r:id="rId8" w:anchor="dst1818" w:history="1">
        <w:r w:rsidRPr="00A544E4">
          <w:rPr>
            <w:rFonts w:ascii="Arial" w:eastAsia="Times New Roman" w:hAnsi="Arial" w:cs="Arial"/>
            <w:color w:val="666699"/>
            <w:sz w:val="26"/>
            <w:szCs w:val="26"/>
            <w:u w:val="single"/>
            <w:lang w:eastAsia="ru-RU"/>
          </w:rPr>
          <w:t>пунктом 138</w:t>
        </w:r>
      </w:hyperlink>
      <w:r w:rsidRPr="00A544E4">
        <w:rPr>
          <w:rFonts w:ascii="Arial" w:eastAsia="Times New Roman" w:hAnsi="Arial" w:cs="Arial"/>
          <w:color w:val="000000"/>
          <w:sz w:val="26"/>
          <w:szCs w:val="26"/>
          <w:lang w:eastAsia="ru-RU"/>
        </w:rPr>
        <w:t> настоящего документа.</w:t>
      </w:r>
    </w:p>
    <w:p w:rsidR="00A544E4" w:rsidRPr="00A544E4" w:rsidRDefault="00A544E4" w:rsidP="00A544E4">
      <w:pPr>
        <w:shd w:val="clear" w:color="auto" w:fill="FFFFFF"/>
        <w:spacing w:after="0" w:line="315" w:lineRule="atLeast"/>
        <w:jc w:val="both"/>
        <w:rPr>
          <w:rFonts w:ascii="Arial" w:eastAsia="Times New Roman" w:hAnsi="Arial" w:cs="Arial"/>
          <w:color w:val="000000"/>
          <w:sz w:val="26"/>
          <w:szCs w:val="26"/>
          <w:lang w:eastAsia="ru-RU"/>
        </w:rPr>
      </w:pPr>
      <w:r w:rsidRPr="00A544E4">
        <w:rPr>
          <w:rFonts w:ascii="Arial" w:eastAsia="Times New Roman" w:hAnsi="Arial" w:cs="Arial"/>
          <w:color w:val="000000"/>
          <w:sz w:val="26"/>
          <w:szCs w:val="26"/>
          <w:lang w:eastAsia="ru-RU"/>
        </w:rPr>
        <w:t>(абзац введен </w:t>
      </w:r>
      <w:hyperlink r:id="rId9" w:anchor="dst100117" w:history="1">
        <w:r w:rsidRPr="00A544E4">
          <w:rPr>
            <w:rFonts w:ascii="Arial" w:eastAsia="Times New Roman" w:hAnsi="Arial" w:cs="Arial"/>
            <w:color w:val="666699"/>
            <w:sz w:val="26"/>
            <w:szCs w:val="26"/>
            <w:u w:val="single"/>
            <w:lang w:eastAsia="ru-RU"/>
          </w:rPr>
          <w:t>Постановлением</w:t>
        </w:r>
      </w:hyperlink>
      <w:r w:rsidRPr="00A544E4">
        <w:rPr>
          <w:rFonts w:ascii="Arial" w:eastAsia="Times New Roman" w:hAnsi="Arial" w:cs="Arial"/>
          <w:color w:val="000000"/>
          <w:sz w:val="26"/>
          <w:szCs w:val="26"/>
          <w:lang w:eastAsia="ru-RU"/>
        </w:rPr>
        <w:t> Правительства РФ от 21.12.2020 N 2184)</w:t>
      </w:r>
    </w:p>
    <w:p w:rsidR="00A544E4" w:rsidRPr="00A544E4" w:rsidRDefault="00A544E4" w:rsidP="00A544E4">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5" w:name="dst1809"/>
      <w:bookmarkEnd w:id="15"/>
      <w:r w:rsidRPr="00A544E4">
        <w:rPr>
          <w:rFonts w:ascii="Arial" w:eastAsia="Times New Roman" w:hAnsi="Arial" w:cs="Arial"/>
          <w:color w:val="000000"/>
          <w:sz w:val="26"/>
          <w:szCs w:val="26"/>
          <w:lang w:eastAsia="ru-RU"/>
        </w:rPr>
        <w:t>137. В состав иного оборудования, которое используется для коммерческого учета электрической энергии (мощности), входят:</w:t>
      </w:r>
    </w:p>
    <w:p w:rsidR="00A544E4" w:rsidRPr="00A544E4" w:rsidRDefault="00A544E4" w:rsidP="00A544E4">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6" w:name="dst1810"/>
      <w:bookmarkEnd w:id="16"/>
      <w:r w:rsidRPr="00A544E4">
        <w:rPr>
          <w:rFonts w:ascii="Arial" w:eastAsia="Times New Roman" w:hAnsi="Arial" w:cs="Arial"/>
          <w:color w:val="000000"/>
          <w:sz w:val="26"/>
          <w:szCs w:val="26"/>
          <w:lang w:eastAsia="ru-RU"/>
        </w:rPr>
        <w:t>измерительные трансформаторы;</w:t>
      </w:r>
    </w:p>
    <w:p w:rsidR="00A544E4" w:rsidRPr="00A544E4" w:rsidRDefault="00A544E4" w:rsidP="00A544E4">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7" w:name="dst1811"/>
      <w:bookmarkEnd w:id="17"/>
      <w:r w:rsidRPr="00A544E4">
        <w:rPr>
          <w:rFonts w:ascii="Arial" w:eastAsia="Times New Roman" w:hAnsi="Arial" w:cs="Arial"/>
          <w:color w:val="000000"/>
          <w:sz w:val="26"/>
          <w:szCs w:val="26"/>
          <w:lang w:eastAsia="ru-RU"/>
        </w:rPr>
        <w:lastRenderedPageBreak/>
        <w:t>коммутационное оборудование и оборудование защиты прибора учета от токов короткого замыкания;</w:t>
      </w:r>
    </w:p>
    <w:p w:rsidR="00A544E4" w:rsidRPr="00A544E4" w:rsidRDefault="00A544E4" w:rsidP="00A544E4">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8" w:name="dst1812"/>
      <w:bookmarkEnd w:id="18"/>
      <w:r w:rsidRPr="00A544E4">
        <w:rPr>
          <w:rFonts w:ascii="Arial" w:eastAsia="Times New Roman" w:hAnsi="Arial" w:cs="Arial"/>
          <w:color w:val="000000"/>
          <w:sz w:val="26"/>
          <w:szCs w:val="26"/>
          <w:lang w:eastAsia="ru-RU"/>
        </w:rPr>
        <w:t>материалы и оборудование для монтажа прибора учета (измерительного комплекса) в месте его установки;</w:t>
      </w:r>
    </w:p>
    <w:p w:rsidR="00A544E4" w:rsidRPr="00A544E4" w:rsidRDefault="00A544E4" w:rsidP="00A544E4">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19" w:name="dst1813"/>
      <w:bookmarkEnd w:id="19"/>
      <w:r w:rsidRPr="00A544E4">
        <w:rPr>
          <w:rFonts w:ascii="Arial" w:eastAsia="Times New Roman" w:hAnsi="Arial" w:cs="Arial"/>
          <w:color w:val="000000"/>
          <w:sz w:val="26"/>
          <w:szCs w:val="26"/>
          <w:lang w:eastAsia="ru-RU"/>
        </w:rPr>
        <w:t>материалы и оборудование для организации вторичных цепей измерительного комплекса;</w:t>
      </w:r>
    </w:p>
    <w:p w:rsidR="00A544E4" w:rsidRPr="00A544E4" w:rsidRDefault="00A544E4" w:rsidP="00A544E4">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0" w:name="dst1814"/>
      <w:bookmarkEnd w:id="20"/>
      <w:r w:rsidRPr="00A544E4">
        <w:rPr>
          <w:rFonts w:ascii="Arial" w:eastAsia="Times New Roman" w:hAnsi="Arial" w:cs="Arial"/>
          <w:color w:val="000000"/>
          <w:sz w:val="26"/>
          <w:szCs w:val="26"/>
          <w:lang w:eastAsia="ru-RU"/>
        </w:rPr>
        <w:t>устройства, предназначенные для удаленного сбора, обработки, передачи показаний приборов учета электрической энергии, обеспечивающие информационный обмен, хранение показаний приборов учета электрической энергии, удаленное управление ее компонентами, устройствами и приборами учета электрической энергии.</w:t>
      </w:r>
    </w:p>
    <w:p w:rsidR="00A544E4" w:rsidRPr="00A544E4" w:rsidRDefault="00A544E4" w:rsidP="00A544E4">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1" w:name="dst1815"/>
      <w:bookmarkEnd w:id="21"/>
      <w:r w:rsidRPr="00A544E4">
        <w:rPr>
          <w:rFonts w:ascii="Arial" w:eastAsia="Times New Roman" w:hAnsi="Arial" w:cs="Arial"/>
          <w:color w:val="000000"/>
          <w:sz w:val="26"/>
          <w:szCs w:val="26"/>
          <w:lang w:eastAsia="ru-RU"/>
        </w:rPr>
        <w:t xml:space="preserve">В состав иного оборудования, которое используется для коммерческого учета электрической энергии (мощности), приобретение, установку и замену которого осуществляют гарантирующие поставщики и сетевые организации, не входят измерительные трансформаторы, используемые для обеспечения коммерческого учета электрической энергии в отношении объектов по производству электрической энергии (мощности) на розничных рынках, а также в составе измерительных комплексов на подстанциях с уровнем высшего напряжения выше 20 </w:t>
      </w:r>
      <w:proofErr w:type="spellStart"/>
      <w:r w:rsidRPr="00A544E4">
        <w:rPr>
          <w:rFonts w:ascii="Arial" w:eastAsia="Times New Roman" w:hAnsi="Arial" w:cs="Arial"/>
          <w:color w:val="000000"/>
          <w:sz w:val="26"/>
          <w:szCs w:val="26"/>
          <w:lang w:eastAsia="ru-RU"/>
        </w:rPr>
        <w:t>кВ.</w:t>
      </w:r>
      <w:proofErr w:type="spellEnd"/>
    </w:p>
    <w:p w:rsidR="00A544E4" w:rsidRPr="00A544E4" w:rsidRDefault="00A544E4" w:rsidP="00A544E4">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2" w:name="dst1816"/>
      <w:bookmarkEnd w:id="22"/>
      <w:r w:rsidRPr="00A544E4">
        <w:rPr>
          <w:rFonts w:ascii="Arial" w:eastAsia="Times New Roman" w:hAnsi="Arial" w:cs="Arial"/>
          <w:color w:val="000000"/>
          <w:sz w:val="26"/>
          <w:szCs w:val="26"/>
          <w:lang w:eastAsia="ru-RU"/>
        </w:rPr>
        <w:t xml:space="preserve">Приобретение, установка, замена, эксплуатация и поверка измерительных трансформаторов, используемых для обеспечения коммерческого учета электрической энергии в составе измерительных комплексов, установленных или устанавливаемых на подстанциях с уровнем высшего напряжения 20 </w:t>
      </w:r>
      <w:proofErr w:type="spellStart"/>
      <w:r w:rsidRPr="00A544E4">
        <w:rPr>
          <w:rFonts w:ascii="Arial" w:eastAsia="Times New Roman" w:hAnsi="Arial" w:cs="Arial"/>
          <w:color w:val="000000"/>
          <w:sz w:val="26"/>
          <w:szCs w:val="26"/>
          <w:lang w:eastAsia="ru-RU"/>
        </w:rPr>
        <w:t>кВ</w:t>
      </w:r>
      <w:proofErr w:type="spellEnd"/>
      <w:r w:rsidRPr="00A544E4">
        <w:rPr>
          <w:rFonts w:ascii="Arial" w:eastAsia="Times New Roman" w:hAnsi="Arial" w:cs="Arial"/>
          <w:color w:val="000000"/>
          <w:sz w:val="26"/>
          <w:szCs w:val="26"/>
          <w:lang w:eastAsia="ru-RU"/>
        </w:rPr>
        <w:t xml:space="preserve"> и выше, а также в отношении объектов по производству электрической энергии (мощности) на розничных рынках, осуществляются собственником (владельцем) соответствующих подстанций, объектов по производству электрической энергии (мощности) на розничных рынках.</w:t>
      </w:r>
    </w:p>
    <w:p w:rsidR="00A544E4" w:rsidRPr="00A544E4" w:rsidRDefault="00A544E4" w:rsidP="00A544E4">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3" w:name="dst1817"/>
      <w:bookmarkEnd w:id="23"/>
      <w:r w:rsidRPr="00A544E4">
        <w:rPr>
          <w:rFonts w:ascii="Arial" w:eastAsia="Times New Roman" w:hAnsi="Arial" w:cs="Arial"/>
          <w:color w:val="000000"/>
          <w:sz w:val="26"/>
          <w:szCs w:val="26"/>
          <w:lang w:eastAsia="ru-RU"/>
        </w:rPr>
        <w:t>Замена измерительных трансформаторов, входящих в состав иного оборудования, которое используется для коммерческого учета электрической энергии (мощности), приобретение, установку и замену которого осуществляют гарантирующие поставщики и сетевые организации, при истечении интервала между их поверками осуществляется сетевыми организациями и гарантирующими поставщиками, в случае если в результате их поверки в порядке, установленном законодательством Российской Федерации об обеспечении единства измерений, не подтверждено их соответствие метрологическим требованиям. Обязанности по организации проведения такой поверки и сопутствующие расходы несут гарантирующие поставщики и сетевые организации.</w:t>
      </w:r>
    </w:p>
    <w:p w:rsidR="00A544E4" w:rsidRPr="00A544E4" w:rsidRDefault="00A544E4" w:rsidP="00A544E4">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4" w:name="dst2252"/>
      <w:bookmarkEnd w:id="24"/>
      <w:r w:rsidRPr="00A544E4">
        <w:rPr>
          <w:rFonts w:ascii="Arial" w:eastAsia="Times New Roman" w:hAnsi="Arial" w:cs="Arial"/>
          <w:color w:val="000000"/>
          <w:sz w:val="26"/>
          <w:szCs w:val="26"/>
          <w:lang w:eastAsia="ru-RU"/>
        </w:rPr>
        <w:t xml:space="preserve">При истечении интервалов между поверками измерительных трансформаторов тока напряжением менее 1 </w:t>
      </w:r>
      <w:proofErr w:type="spellStart"/>
      <w:r w:rsidRPr="00A544E4">
        <w:rPr>
          <w:rFonts w:ascii="Arial" w:eastAsia="Times New Roman" w:hAnsi="Arial" w:cs="Arial"/>
          <w:color w:val="000000"/>
          <w:sz w:val="26"/>
          <w:szCs w:val="26"/>
          <w:lang w:eastAsia="ru-RU"/>
        </w:rPr>
        <w:t>кВ</w:t>
      </w:r>
      <w:proofErr w:type="spellEnd"/>
      <w:r w:rsidRPr="00A544E4">
        <w:rPr>
          <w:rFonts w:ascii="Arial" w:eastAsia="Times New Roman" w:hAnsi="Arial" w:cs="Arial"/>
          <w:color w:val="000000"/>
          <w:sz w:val="26"/>
          <w:szCs w:val="26"/>
          <w:lang w:eastAsia="ru-RU"/>
        </w:rPr>
        <w:t xml:space="preserve"> замена измерительных трансформаторов осуществляется без проведения процедуры поверки.</w:t>
      </w:r>
    </w:p>
    <w:p w:rsidR="00A544E4" w:rsidRPr="00A544E4" w:rsidRDefault="00A544E4" w:rsidP="00A544E4">
      <w:pPr>
        <w:shd w:val="clear" w:color="auto" w:fill="FFFFFF"/>
        <w:spacing w:after="0" w:line="315" w:lineRule="atLeast"/>
        <w:jc w:val="both"/>
        <w:rPr>
          <w:rFonts w:ascii="Arial" w:eastAsia="Times New Roman" w:hAnsi="Arial" w:cs="Arial"/>
          <w:color w:val="000000"/>
          <w:sz w:val="26"/>
          <w:szCs w:val="26"/>
          <w:lang w:eastAsia="ru-RU"/>
        </w:rPr>
      </w:pPr>
      <w:r w:rsidRPr="00A544E4">
        <w:rPr>
          <w:rFonts w:ascii="Arial" w:eastAsia="Times New Roman" w:hAnsi="Arial" w:cs="Arial"/>
          <w:color w:val="000000"/>
          <w:sz w:val="26"/>
          <w:szCs w:val="26"/>
          <w:lang w:eastAsia="ru-RU"/>
        </w:rPr>
        <w:t>(абзац введен </w:t>
      </w:r>
      <w:hyperlink r:id="rId10" w:anchor="dst100119" w:history="1">
        <w:r w:rsidRPr="00A544E4">
          <w:rPr>
            <w:rFonts w:ascii="Arial" w:eastAsia="Times New Roman" w:hAnsi="Arial" w:cs="Arial"/>
            <w:color w:val="666699"/>
            <w:sz w:val="26"/>
            <w:szCs w:val="26"/>
            <w:u w:val="single"/>
            <w:lang w:eastAsia="ru-RU"/>
          </w:rPr>
          <w:t>Постановлением</w:t>
        </w:r>
      </w:hyperlink>
      <w:r w:rsidRPr="00A544E4">
        <w:rPr>
          <w:rFonts w:ascii="Arial" w:eastAsia="Times New Roman" w:hAnsi="Arial" w:cs="Arial"/>
          <w:color w:val="000000"/>
          <w:sz w:val="26"/>
          <w:szCs w:val="26"/>
          <w:lang w:eastAsia="ru-RU"/>
        </w:rPr>
        <w:t> Правительства РФ от 21.12.2020 N 2184)</w:t>
      </w:r>
    </w:p>
    <w:p w:rsidR="00A544E4" w:rsidRPr="00A544E4" w:rsidRDefault="00A544E4" w:rsidP="00A544E4">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5" w:name="dst2253"/>
      <w:bookmarkEnd w:id="25"/>
      <w:r w:rsidRPr="00A544E4">
        <w:rPr>
          <w:rFonts w:ascii="Arial" w:eastAsia="Times New Roman" w:hAnsi="Arial" w:cs="Arial"/>
          <w:color w:val="000000"/>
          <w:sz w:val="26"/>
          <w:szCs w:val="26"/>
          <w:lang w:eastAsia="ru-RU"/>
        </w:rPr>
        <w:t xml:space="preserve">Если по результатам поверки измерительных трансформаторов в точке поставки не будет подтверждено соответствие метрологическим требованиям хотя бы одного из измерительных трансформаторов тока или </w:t>
      </w:r>
      <w:r w:rsidRPr="00A544E4">
        <w:rPr>
          <w:rFonts w:ascii="Arial" w:eastAsia="Times New Roman" w:hAnsi="Arial" w:cs="Arial"/>
          <w:color w:val="000000"/>
          <w:sz w:val="26"/>
          <w:szCs w:val="26"/>
          <w:lang w:eastAsia="ru-RU"/>
        </w:rPr>
        <w:lastRenderedPageBreak/>
        <w:t>напряжения, то проводится замена всего комплекта измерительных трансформаторов соответствующего типа (тока или напряжения) в такой точке поставки.</w:t>
      </w:r>
    </w:p>
    <w:p w:rsidR="00A544E4" w:rsidRPr="00A544E4" w:rsidRDefault="00A544E4" w:rsidP="00A544E4">
      <w:pPr>
        <w:shd w:val="clear" w:color="auto" w:fill="FFFFFF"/>
        <w:spacing w:after="0" w:line="315" w:lineRule="atLeast"/>
        <w:jc w:val="both"/>
        <w:rPr>
          <w:rFonts w:ascii="Arial" w:eastAsia="Times New Roman" w:hAnsi="Arial" w:cs="Arial"/>
          <w:color w:val="000000"/>
          <w:sz w:val="26"/>
          <w:szCs w:val="26"/>
          <w:lang w:eastAsia="ru-RU"/>
        </w:rPr>
      </w:pPr>
      <w:r w:rsidRPr="00A544E4">
        <w:rPr>
          <w:rFonts w:ascii="Arial" w:eastAsia="Times New Roman" w:hAnsi="Arial" w:cs="Arial"/>
          <w:color w:val="000000"/>
          <w:sz w:val="26"/>
          <w:szCs w:val="26"/>
          <w:lang w:eastAsia="ru-RU"/>
        </w:rPr>
        <w:t>(абзац введен </w:t>
      </w:r>
      <w:hyperlink r:id="rId11" w:anchor="dst100121" w:history="1">
        <w:r w:rsidRPr="00A544E4">
          <w:rPr>
            <w:rFonts w:ascii="Arial" w:eastAsia="Times New Roman" w:hAnsi="Arial" w:cs="Arial"/>
            <w:color w:val="666699"/>
            <w:sz w:val="26"/>
            <w:szCs w:val="26"/>
            <w:u w:val="single"/>
            <w:lang w:eastAsia="ru-RU"/>
          </w:rPr>
          <w:t>Постановлением</w:t>
        </w:r>
      </w:hyperlink>
      <w:r w:rsidRPr="00A544E4">
        <w:rPr>
          <w:rFonts w:ascii="Arial" w:eastAsia="Times New Roman" w:hAnsi="Arial" w:cs="Arial"/>
          <w:color w:val="000000"/>
          <w:sz w:val="26"/>
          <w:szCs w:val="26"/>
          <w:lang w:eastAsia="ru-RU"/>
        </w:rPr>
        <w:t> Правительства РФ от 21.12.2020 N 2184)</w:t>
      </w:r>
    </w:p>
    <w:p w:rsidR="00A544E4" w:rsidRPr="00A544E4" w:rsidRDefault="00A544E4" w:rsidP="00A544E4">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6" w:name="dst2254"/>
      <w:bookmarkEnd w:id="26"/>
      <w:r w:rsidRPr="00A544E4">
        <w:rPr>
          <w:rFonts w:ascii="Arial" w:eastAsia="Times New Roman" w:hAnsi="Arial" w:cs="Arial"/>
          <w:color w:val="000000"/>
          <w:sz w:val="26"/>
          <w:szCs w:val="26"/>
          <w:lang w:eastAsia="ru-RU"/>
        </w:rPr>
        <w:t>При установке (замене) прибора учета сетевые организации и гарантирующие поставщики до 1 января 2022 г. обязаны не ухудшать функциональные характеристики прибора учета, обеспечивающие ранее выбранные потребителем параметры расчетов за электрическую энергию (мощность).</w:t>
      </w:r>
    </w:p>
    <w:p w:rsidR="00A544E4" w:rsidRPr="00A544E4" w:rsidRDefault="00A544E4" w:rsidP="00A544E4">
      <w:pPr>
        <w:shd w:val="clear" w:color="auto" w:fill="FFFFFF"/>
        <w:spacing w:after="0" w:line="315" w:lineRule="atLeast"/>
        <w:jc w:val="both"/>
        <w:rPr>
          <w:rFonts w:ascii="Arial" w:eastAsia="Times New Roman" w:hAnsi="Arial" w:cs="Arial"/>
          <w:color w:val="000000"/>
          <w:sz w:val="26"/>
          <w:szCs w:val="26"/>
          <w:lang w:eastAsia="ru-RU"/>
        </w:rPr>
      </w:pPr>
      <w:r w:rsidRPr="00A544E4">
        <w:rPr>
          <w:rFonts w:ascii="Arial" w:eastAsia="Times New Roman" w:hAnsi="Arial" w:cs="Arial"/>
          <w:color w:val="000000"/>
          <w:sz w:val="26"/>
          <w:szCs w:val="26"/>
          <w:lang w:eastAsia="ru-RU"/>
        </w:rPr>
        <w:t>(абзац введен </w:t>
      </w:r>
      <w:hyperlink r:id="rId12" w:anchor="dst100122" w:history="1">
        <w:r w:rsidRPr="00A544E4">
          <w:rPr>
            <w:rFonts w:ascii="Arial" w:eastAsia="Times New Roman" w:hAnsi="Arial" w:cs="Arial"/>
            <w:color w:val="666699"/>
            <w:sz w:val="26"/>
            <w:szCs w:val="26"/>
            <w:u w:val="single"/>
            <w:lang w:eastAsia="ru-RU"/>
          </w:rPr>
          <w:t>Постановлением</w:t>
        </w:r>
      </w:hyperlink>
      <w:r w:rsidRPr="00A544E4">
        <w:rPr>
          <w:rFonts w:ascii="Arial" w:eastAsia="Times New Roman" w:hAnsi="Arial" w:cs="Arial"/>
          <w:color w:val="000000"/>
          <w:sz w:val="26"/>
          <w:szCs w:val="26"/>
          <w:lang w:eastAsia="ru-RU"/>
        </w:rPr>
        <w:t> Правительства РФ от 21.12.2020 N 2184)</w:t>
      </w:r>
    </w:p>
    <w:p w:rsidR="00A544E4" w:rsidRPr="00A544E4" w:rsidRDefault="00A544E4" w:rsidP="00A544E4">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7" w:name="dst1818"/>
      <w:bookmarkEnd w:id="27"/>
      <w:r w:rsidRPr="00A544E4">
        <w:rPr>
          <w:rFonts w:ascii="Arial" w:eastAsia="Times New Roman" w:hAnsi="Arial" w:cs="Arial"/>
          <w:color w:val="000000"/>
          <w:sz w:val="26"/>
          <w:szCs w:val="26"/>
          <w:lang w:eastAsia="ru-RU"/>
        </w:rPr>
        <w:t>138. В случаях, не относящихся к предоставлению коммунальных услуг, коммерческий учет электрической энергии, используемой гражданами, осуществляется в соответствии с настоящим документом.</w:t>
      </w:r>
    </w:p>
    <w:p w:rsidR="00A544E4" w:rsidRPr="00A544E4" w:rsidRDefault="00A544E4" w:rsidP="00A544E4">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8" w:name="dst1819"/>
      <w:bookmarkEnd w:id="28"/>
      <w:r w:rsidRPr="00A544E4">
        <w:rPr>
          <w:rFonts w:ascii="Arial" w:eastAsia="Times New Roman" w:hAnsi="Arial" w:cs="Arial"/>
          <w:color w:val="000000"/>
          <w:sz w:val="26"/>
          <w:szCs w:val="26"/>
          <w:lang w:eastAsia="ru-RU"/>
        </w:rPr>
        <w:t>В случаях, относящихся к предоставлению коммунальных услуг, коммерческий учет электрической энергии, используемой гражданами, осуществляется в соответствии с </w:t>
      </w:r>
      <w:hyperlink r:id="rId13" w:anchor="dst100031" w:history="1">
        <w:r w:rsidRPr="00A544E4">
          <w:rPr>
            <w:rFonts w:ascii="Arial" w:eastAsia="Times New Roman" w:hAnsi="Arial" w:cs="Arial"/>
            <w:color w:val="666699"/>
            <w:sz w:val="26"/>
            <w:szCs w:val="26"/>
            <w:u w:val="single"/>
            <w:lang w:eastAsia="ru-RU"/>
          </w:rPr>
          <w:t>Правилами</w:t>
        </w:r>
      </w:hyperlink>
      <w:r w:rsidRPr="00A544E4">
        <w:rPr>
          <w:rFonts w:ascii="Arial" w:eastAsia="Times New Roman" w:hAnsi="Arial" w:cs="Arial"/>
          <w:color w:val="000000"/>
          <w:sz w:val="26"/>
          <w:szCs w:val="26"/>
          <w:lang w:eastAsia="ru-RU"/>
        </w:rPr>
        <w:t>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за исключением установленного настоящим документом порядка определения мест установки приборов учета, установки и ввода в эксплуатацию, проведения контрольного снятия показаний и проверок приборов учета, установленных в отношении жилых домов, установки и ввода в эксплуатацию и проведения проверок коллективных (общедомовых) приборов учета.</w:t>
      </w:r>
    </w:p>
    <w:p w:rsidR="00A544E4" w:rsidRPr="00A544E4" w:rsidRDefault="00A544E4" w:rsidP="00A544E4">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29" w:name="dst2255"/>
      <w:bookmarkStart w:id="30" w:name="dst1820"/>
      <w:bookmarkEnd w:id="29"/>
      <w:bookmarkEnd w:id="30"/>
      <w:r w:rsidRPr="00A544E4">
        <w:rPr>
          <w:rFonts w:ascii="Arial" w:eastAsia="Times New Roman" w:hAnsi="Arial" w:cs="Arial"/>
          <w:color w:val="000000"/>
          <w:sz w:val="26"/>
          <w:szCs w:val="26"/>
          <w:lang w:eastAsia="ru-RU"/>
        </w:rPr>
        <w:t>Определение объемов электрической энергии, поставленной гарантирующим поставщиком в многоквартирный жилой дом, осуществляется в соответствии с </w:t>
      </w:r>
      <w:hyperlink r:id="rId14" w:anchor="dst100028" w:history="1">
        <w:r w:rsidRPr="00A544E4">
          <w:rPr>
            <w:rFonts w:ascii="Arial" w:eastAsia="Times New Roman" w:hAnsi="Arial" w:cs="Arial"/>
            <w:color w:val="666699"/>
            <w:sz w:val="26"/>
            <w:szCs w:val="26"/>
            <w:u w:val="single"/>
            <w:lang w:eastAsia="ru-RU"/>
          </w:rPr>
          <w:t>Правилами</w:t>
        </w:r>
      </w:hyperlink>
      <w:r w:rsidRPr="00A544E4">
        <w:rPr>
          <w:rFonts w:ascii="Arial" w:eastAsia="Times New Roman" w:hAnsi="Arial" w:cs="Arial"/>
          <w:color w:val="000000"/>
          <w:sz w:val="26"/>
          <w:szCs w:val="26"/>
          <w:lang w:eastAsia="ru-RU"/>
        </w:rPr>
        <w:t xml:space="preserve">,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w:t>
      </w:r>
      <w:proofErr w:type="spellStart"/>
      <w:r w:rsidRPr="00A544E4">
        <w:rPr>
          <w:rFonts w:ascii="Arial" w:eastAsia="Times New Roman" w:hAnsi="Arial" w:cs="Arial"/>
          <w:color w:val="000000"/>
          <w:sz w:val="26"/>
          <w:szCs w:val="26"/>
          <w:lang w:eastAsia="ru-RU"/>
        </w:rPr>
        <w:t>ресурсоснабжающими</w:t>
      </w:r>
      <w:proofErr w:type="spellEnd"/>
      <w:r w:rsidRPr="00A544E4">
        <w:rPr>
          <w:rFonts w:ascii="Arial" w:eastAsia="Times New Roman" w:hAnsi="Arial" w:cs="Arial"/>
          <w:color w:val="000000"/>
          <w:sz w:val="26"/>
          <w:szCs w:val="26"/>
          <w:lang w:eastAsia="ru-RU"/>
        </w:rPr>
        <w:t xml:space="preserve">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 в том числе в предусмотренных настоящим разделом случаях применения расчетных способов определения объемов электрической энергии при </w:t>
      </w:r>
      <w:proofErr w:type="spellStart"/>
      <w:r w:rsidRPr="00A544E4">
        <w:rPr>
          <w:rFonts w:ascii="Arial" w:eastAsia="Times New Roman" w:hAnsi="Arial" w:cs="Arial"/>
          <w:color w:val="000000"/>
          <w:sz w:val="26"/>
          <w:szCs w:val="26"/>
          <w:lang w:eastAsia="ru-RU"/>
        </w:rPr>
        <w:t>недопуске</w:t>
      </w:r>
      <w:proofErr w:type="spellEnd"/>
      <w:r w:rsidRPr="00A544E4">
        <w:rPr>
          <w:rFonts w:ascii="Arial" w:eastAsia="Times New Roman" w:hAnsi="Arial" w:cs="Arial"/>
          <w:color w:val="000000"/>
          <w:sz w:val="26"/>
          <w:szCs w:val="26"/>
          <w:lang w:eastAsia="ru-RU"/>
        </w:rPr>
        <w:t xml:space="preserve"> гарантирующего поставщика к установке, замене, допуску к эксплуатации, проверке, проведению контрольного снятия показаний коллективного (общедомового) прибора учета, а также в случае отсутствия прибора учета, его неисправности, утраты, непригодности для осуществления расчетов, истечения интервалов между поверками, истечения сроков эксплуатации, непредставления показаний.</w:t>
      </w:r>
    </w:p>
    <w:p w:rsidR="00A544E4" w:rsidRPr="00A544E4" w:rsidRDefault="00A544E4" w:rsidP="00A544E4">
      <w:pPr>
        <w:shd w:val="clear" w:color="auto" w:fill="FFFFFF"/>
        <w:spacing w:after="0" w:line="315" w:lineRule="atLeast"/>
        <w:jc w:val="both"/>
        <w:rPr>
          <w:rFonts w:ascii="Arial" w:eastAsia="Times New Roman" w:hAnsi="Arial" w:cs="Arial"/>
          <w:color w:val="000000"/>
          <w:sz w:val="26"/>
          <w:szCs w:val="26"/>
          <w:lang w:eastAsia="ru-RU"/>
        </w:rPr>
      </w:pPr>
      <w:r w:rsidRPr="00A544E4">
        <w:rPr>
          <w:rFonts w:ascii="Arial" w:eastAsia="Times New Roman" w:hAnsi="Arial" w:cs="Arial"/>
          <w:color w:val="000000"/>
          <w:sz w:val="26"/>
          <w:szCs w:val="26"/>
          <w:lang w:eastAsia="ru-RU"/>
        </w:rPr>
        <w:t>(в ред. </w:t>
      </w:r>
      <w:hyperlink r:id="rId15" w:anchor="dst100123" w:history="1">
        <w:r w:rsidRPr="00A544E4">
          <w:rPr>
            <w:rFonts w:ascii="Arial" w:eastAsia="Times New Roman" w:hAnsi="Arial" w:cs="Arial"/>
            <w:color w:val="666699"/>
            <w:sz w:val="26"/>
            <w:szCs w:val="26"/>
            <w:u w:val="single"/>
            <w:lang w:eastAsia="ru-RU"/>
          </w:rPr>
          <w:t>Постановления</w:t>
        </w:r>
      </w:hyperlink>
      <w:r w:rsidRPr="00A544E4">
        <w:rPr>
          <w:rFonts w:ascii="Arial" w:eastAsia="Times New Roman" w:hAnsi="Arial" w:cs="Arial"/>
          <w:color w:val="000000"/>
          <w:sz w:val="26"/>
          <w:szCs w:val="26"/>
          <w:lang w:eastAsia="ru-RU"/>
        </w:rPr>
        <w:t> Правительства РФ от 21.12.2020 N 2184)</w:t>
      </w:r>
    </w:p>
    <w:p w:rsidR="00A544E4" w:rsidRPr="00A544E4" w:rsidRDefault="00A544E4" w:rsidP="00A544E4">
      <w:pPr>
        <w:shd w:val="clear" w:color="auto" w:fill="FFFFFF"/>
        <w:spacing w:after="0" w:line="394" w:lineRule="atLeast"/>
        <w:jc w:val="both"/>
        <w:rPr>
          <w:rFonts w:ascii="Arial" w:eastAsia="Times New Roman" w:hAnsi="Arial" w:cs="Arial"/>
          <w:color w:val="000000"/>
          <w:sz w:val="26"/>
          <w:szCs w:val="26"/>
          <w:lang w:eastAsia="ru-RU"/>
        </w:rPr>
      </w:pPr>
      <w:r w:rsidRPr="00A544E4">
        <w:rPr>
          <w:rFonts w:ascii="Arial" w:eastAsia="Times New Roman" w:hAnsi="Arial" w:cs="Arial"/>
          <w:color w:val="000000"/>
          <w:sz w:val="26"/>
          <w:szCs w:val="26"/>
          <w:lang w:eastAsia="ru-RU"/>
        </w:rPr>
        <w:t>(см. текст в предыдущей редакции)</w:t>
      </w:r>
    </w:p>
    <w:p w:rsidR="00A544E4" w:rsidRPr="00A544E4" w:rsidRDefault="00A544E4" w:rsidP="00A544E4">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1" w:name="dst1821"/>
      <w:bookmarkEnd w:id="31"/>
      <w:r w:rsidRPr="00A544E4">
        <w:rPr>
          <w:rFonts w:ascii="Arial" w:eastAsia="Times New Roman" w:hAnsi="Arial" w:cs="Arial"/>
          <w:color w:val="000000"/>
          <w:sz w:val="26"/>
          <w:szCs w:val="26"/>
          <w:lang w:eastAsia="ru-RU"/>
        </w:rPr>
        <w:lastRenderedPageBreak/>
        <w:t>139. Субъекты электроэнергетики, потребители электрической энергии (мощности) и иные владельцы приборов учета электрической энергии обязаны осуществлять информационный обмен данными, получаемыми в ходе обеспечения коммерческого учета электрической энергии (мощности) на розничных рынках, необходимыми для взаиморасчетов за поставки электрической энергии и мощности, а также за связанные с указанными поставками услуги, на безвозмездной основе.</w:t>
      </w:r>
    </w:p>
    <w:p w:rsidR="00A544E4" w:rsidRPr="00A544E4" w:rsidRDefault="00A544E4" w:rsidP="00A544E4">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2" w:name="dst1822"/>
      <w:bookmarkEnd w:id="32"/>
      <w:r w:rsidRPr="00A544E4">
        <w:rPr>
          <w:rFonts w:ascii="Arial" w:eastAsia="Times New Roman" w:hAnsi="Arial" w:cs="Arial"/>
          <w:color w:val="000000"/>
          <w:sz w:val="26"/>
          <w:szCs w:val="26"/>
          <w:lang w:eastAsia="ru-RU"/>
        </w:rPr>
        <w:t>Собственники приборов учета и (или) иного оборудования, используемых для обеспечения коммерческого учета электрической энергии (мощности) на розничных рынках, а также собственники (владельцы) и (или) пользователи объектов, на которых установлены такие приборы учета и (или) иное оборудование, не вправе по своему усмотрению демонтировать приборы учета и (или) иное оборудование, ограничивать к ним доступ, вмешиваться в процесс удаленного сбора, обработки и передачи показаний приборов учета (измерительных трансформаторов), в любой иной форме препятствовать их использованию для обеспечения и осуществления контроля коммерческого учета электрической энергии (мощности), в том числе препятствовать проведению проверок целостности и корректности их работы, использованию для этих целей данных, получаемых с принадлежащих им приборов учета электрической энергии.</w:t>
      </w:r>
    </w:p>
    <w:p w:rsidR="00A544E4" w:rsidRPr="00A544E4" w:rsidRDefault="00A544E4" w:rsidP="00A544E4">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3" w:name="dst1823"/>
      <w:bookmarkEnd w:id="33"/>
      <w:r w:rsidRPr="00A544E4">
        <w:rPr>
          <w:rFonts w:ascii="Arial" w:eastAsia="Times New Roman" w:hAnsi="Arial" w:cs="Arial"/>
          <w:color w:val="000000"/>
          <w:sz w:val="26"/>
          <w:szCs w:val="26"/>
          <w:lang w:eastAsia="ru-RU"/>
        </w:rPr>
        <w:t xml:space="preserve">Лицо, владеющее на праве собственности или ином законном основании (далее - собственник (владелец) </w:t>
      </w:r>
      <w:proofErr w:type="spellStart"/>
      <w:r w:rsidRPr="00A544E4">
        <w:rPr>
          <w:rFonts w:ascii="Arial" w:eastAsia="Times New Roman" w:hAnsi="Arial" w:cs="Arial"/>
          <w:color w:val="000000"/>
          <w:sz w:val="26"/>
          <w:szCs w:val="26"/>
          <w:lang w:eastAsia="ru-RU"/>
        </w:rPr>
        <w:t>энергопринимающими</w:t>
      </w:r>
      <w:proofErr w:type="spellEnd"/>
      <w:r w:rsidRPr="00A544E4">
        <w:rPr>
          <w:rFonts w:ascii="Arial" w:eastAsia="Times New Roman" w:hAnsi="Arial" w:cs="Arial"/>
          <w:color w:val="000000"/>
          <w:sz w:val="26"/>
          <w:szCs w:val="26"/>
          <w:lang w:eastAsia="ru-RU"/>
        </w:rPr>
        <w:t xml:space="preserve"> устройствами (объектами по производству электрической энергии (мощности), объектами электросетевого хозяйства), в границах балансовой принадлежности (в отношении граждан-потребителей - в границах земельного участка) которых установлен прибор учета, принадлежащий другому лицу, обязано обеспечить допуск для проведения работ по замене прибора учета и (или) иного оборудования, которые используются для коммерческого учета электрической энергии (мощности), а также для проведения работ, связанных с эксплуатацией прибора учета и (или) иного оборудования, которые используются для коммерческого учета электрической энергии (мощности), представителей сетевой организации (гарантирующего поставщика - в отношении коллективного (общедомового) прибора учета) и иных собственников соответствующих приборов учета.</w:t>
      </w:r>
    </w:p>
    <w:p w:rsidR="00A544E4" w:rsidRPr="00A544E4" w:rsidRDefault="00A544E4" w:rsidP="00A544E4">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4" w:name="dst1824"/>
      <w:bookmarkEnd w:id="34"/>
      <w:r w:rsidRPr="00A544E4">
        <w:rPr>
          <w:rFonts w:ascii="Arial" w:eastAsia="Times New Roman" w:hAnsi="Arial" w:cs="Arial"/>
          <w:color w:val="000000"/>
          <w:sz w:val="26"/>
          <w:szCs w:val="26"/>
          <w:lang w:eastAsia="ru-RU"/>
        </w:rPr>
        <w:t xml:space="preserve">Обязанность по обеспечению сохранности и целостности прибора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случае, если такая обязанность предусмотрена договором, возлагается на собственника (владельца) </w:t>
      </w:r>
      <w:proofErr w:type="spellStart"/>
      <w:r w:rsidRPr="00A544E4">
        <w:rPr>
          <w:rFonts w:ascii="Arial" w:eastAsia="Times New Roman" w:hAnsi="Arial" w:cs="Arial"/>
          <w:color w:val="000000"/>
          <w:sz w:val="26"/>
          <w:szCs w:val="26"/>
          <w:lang w:eastAsia="ru-RU"/>
        </w:rPr>
        <w:t>энергопринимающих</w:t>
      </w:r>
      <w:proofErr w:type="spellEnd"/>
      <w:r w:rsidRPr="00A544E4">
        <w:rPr>
          <w:rFonts w:ascii="Arial" w:eastAsia="Times New Roman" w:hAnsi="Arial" w:cs="Arial"/>
          <w:color w:val="000000"/>
          <w:sz w:val="26"/>
          <w:szCs w:val="26"/>
          <w:lang w:eastAsia="ru-RU"/>
        </w:rPr>
        <w:t xml:space="preserve"> устройств, объектов по производству электрической энергии (мощности), объектов электросетевого хозяйства (в отношении граждан - потребителей электрической энергии - собственника (владельца) земельного участка), в границах балансовой принадлежности которых (в отношении граждан - потребителей электрической энергии - в границах земельного участка) установлены приборы учета и (или) иное оборудование, которое </w:t>
      </w:r>
      <w:r w:rsidRPr="00A544E4">
        <w:rPr>
          <w:rFonts w:ascii="Arial" w:eastAsia="Times New Roman" w:hAnsi="Arial" w:cs="Arial"/>
          <w:color w:val="000000"/>
          <w:sz w:val="26"/>
          <w:szCs w:val="26"/>
          <w:lang w:eastAsia="ru-RU"/>
        </w:rPr>
        <w:lastRenderedPageBreak/>
        <w:t>используется для обеспечения коммерческого учета электрической энергии (мощности).</w:t>
      </w:r>
    </w:p>
    <w:p w:rsidR="00A544E4" w:rsidRPr="00A544E4" w:rsidRDefault="00A544E4" w:rsidP="00A544E4">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5" w:name="dst1825"/>
      <w:bookmarkEnd w:id="35"/>
      <w:r w:rsidRPr="00A544E4">
        <w:rPr>
          <w:rFonts w:ascii="Arial" w:eastAsia="Times New Roman" w:hAnsi="Arial" w:cs="Arial"/>
          <w:color w:val="000000"/>
          <w:sz w:val="26"/>
          <w:szCs w:val="26"/>
          <w:lang w:eastAsia="ru-RU"/>
        </w:rPr>
        <w:t>Указанные лица в соответствии с законодательством Российской Федерации обязаны возместить сетевой организации (гарантирующему поставщику) убытки, причиненные неисполнением или ненадлежащим исполнением обязанностей по обеспечению сохранности и целостности установленных сетевой организацией (гарантирующим поставщиком) приборов учета и (или) иного оборудования, которые используются для обеспечения коммерческого учета электрической энергии (мощности).</w:t>
      </w:r>
    </w:p>
    <w:p w:rsidR="00A544E4" w:rsidRPr="00A544E4" w:rsidRDefault="00A544E4" w:rsidP="00A544E4">
      <w:pPr>
        <w:shd w:val="clear" w:color="auto" w:fill="FFFFFF"/>
        <w:spacing w:after="0" w:line="315" w:lineRule="atLeast"/>
        <w:ind w:firstLine="540"/>
        <w:jc w:val="both"/>
        <w:rPr>
          <w:rFonts w:ascii="Arial" w:eastAsia="Times New Roman" w:hAnsi="Arial" w:cs="Arial"/>
          <w:color w:val="000000"/>
          <w:sz w:val="26"/>
          <w:szCs w:val="26"/>
          <w:lang w:eastAsia="ru-RU"/>
        </w:rPr>
      </w:pPr>
      <w:bookmarkStart w:id="36" w:name="dst2256"/>
      <w:bookmarkEnd w:id="36"/>
      <w:r w:rsidRPr="00A544E4">
        <w:rPr>
          <w:rFonts w:ascii="Arial" w:eastAsia="Times New Roman" w:hAnsi="Arial" w:cs="Arial"/>
          <w:color w:val="000000"/>
          <w:sz w:val="26"/>
          <w:szCs w:val="26"/>
          <w:lang w:eastAsia="ru-RU"/>
        </w:rPr>
        <w:t>Гарантирующий поставщик и сетевая организация вправе установить контрольные пломбы и индикаторы антимагнитных пломб, пломбы и устройства, позволяющие фиксировать факт несанкционированного вмешательства в работу прибора учета, а также конструкции, защищающие приборы учета от несанкционированного вмешательства в их работу с обязательным уведомлением потребителя о последствиях обнаружения факта нарушения таких пломб или устройств, при этом плата за установку таких пломб, устройств и конструкций с потребителя не взимается.</w:t>
      </w:r>
    </w:p>
    <w:p w:rsidR="00D14E71" w:rsidRDefault="00A544E4">
      <w:r>
        <w:br w:type="page"/>
      </w:r>
      <w:r w:rsidR="00D14E71">
        <w:lastRenderedPageBreak/>
        <w:br w:type="page"/>
      </w:r>
    </w:p>
    <w:p w:rsidR="00A544E4" w:rsidRDefault="00A544E4"/>
    <w:p w:rsidR="00B04694" w:rsidRDefault="00B04694"/>
    <w:p w:rsidR="00B04694" w:rsidRDefault="00B04694"/>
    <w:p w:rsidR="00B04694" w:rsidRDefault="00B04694"/>
    <w:p w:rsidR="00B04694" w:rsidRDefault="00B04694"/>
    <w:p w:rsidR="00B04694" w:rsidRDefault="00B04694">
      <w:r>
        <w:t>Т</w:t>
      </w:r>
      <w:r w:rsidRPr="00B04694">
        <w:t>ребования к местам установки электросчетчиков</w:t>
      </w:r>
    </w:p>
    <w:p w:rsidR="00B04694" w:rsidRPr="00A544E4" w:rsidRDefault="00B04694">
      <w:r>
        <w:t>III. Требования к местам установки приборов учёта Приборы учета подлежат установке на границах балансовой принадлежности объектов электроэнергетики (</w:t>
      </w:r>
      <w:proofErr w:type="spellStart"/>
      <w:r>
        <w:t>энергопринимающих</w:t>
      </w:r>
      <w:proofErr w:type="spellEnd"/>
      <w:r>
        <w:t xml:space="preserve"> устройств) смежных субъектов розничного рынка - потребителей, производителей электрической энергии (мощности) на розничных рынках, сетевых организаций, имеющих общую границу балансовой принадлежности (далее - смежные субъекты розничного рынка), а также в иных местах, с соблюдением установленных законодательством Российской Федерации требований к местам установки приборов учета. При отсутствии технической возможности установки прибора учета на границе балансовой принадлежности объектов электроэнергетики (</w:t>
      </w:r>
      <w:proofErr w:type="spellStart"/>
      <w:r>
        <w:t>энергопринимающих</w:t>
      </w:r>
      <w:proofErr w:type="spellEnd"/>
      <w:r>
        <w:t xml:space="preserve"> устройств) смежных субъектов розничного рынка прибор учета подлежит установке в месте, максимально приближенном к границе балансовой принадлежности, в котором имеется техническая возможность его установки. При этом по соглашению между смежными субъектами розничного рынка прибор учета, подлежащий использованию для определения объемов потребления (производства, передачи) электрической энергии одного субъекта, может быть установлен в границах объектов электроэнергетики (</w:t>
      </w:r>
      <w:proofErr w:type="spellStart"/>
      <w:r>
        <w:t>энергопринимающих</w:t>
      </w:r>
      <w:proofErr w:type="spellEnd"/>
      <w:r>
        <w:t xml:space="preserve"> устройств) другого смежного субъекта. Установка и эксплуатация приборов учета электрической энергии должна осуществляться в соответствии с требованиями правил устройства электроустановок и инструкций заводов-изготовителей. При установке электросчетчиков и электропроводки к ним руководствоваться ПУЭ п.п.1.5.27-1.5.38. Электросчетчики должны устанавливаться в шкафах, камерах, комплектных распределительных устройствах, на панелях, щитах, в нишах, на стенах, имеющих жесткую конструкцию. При установке приборов учета вне помещений (на опоре ВЛ, фасаде здания и т.д.) счётчик электрической энергии подлежит установке в отдельном запирающемся шкафу наружной установки со степенью защиты от проникновения воды и посторонних предметов соответствующий IP 54 по ГОСТ 14254-96. Высота от пола до коробки зажимов электросчетчиков должна быть в пределах 0,8 - 1,7 м. Допускается высота менее 0,8 м, но не менее 0,4 м. Конструкция крепления электросчетчика должна обеспечивать возможность удобной установки, проверки и съема при замене с лицевой стороны шкафа, панели и т.д. Измерительный комплекс должен быть защищен от несанкционированного доступа для исключения возможности искажения результатов измерений. Пломбировке подлежат (п. 2.11.18 «Правил технической эксплуатации электроустановок потребителей», утвержденных Приказом Минэнерго РФ от 13 января 2003 г. № 6»): - </w:t>
      </w:r>
      <w:proofErr w:type="spellStart"/>
      <w:r>
        <w:t>клеммники</w:t>
      </w:r>
      <w:proofErr w:type="spellEnd"/>
      <w:r>
        <w:t xml:space="preserve"> трансформаторов тока; - крышки переходных коробок, где имеются цепи к электросчетчикам; - токовые цепи расчетных счетчиков в случаях, когда к трансформаторам тока совместно со счетчиками присоединены электроизмерительные приборы и устройства защиты; - испытательные коробки с зажимами для шунтирования вторичных обмоток трансформаторов тока и места соединения цепей напряжения при отключении расчетных счетчиков для их замены или поверки; - решетки и дверцы камер, где установлены трансформаторы тока; - решетки или дверцы камер, где установлены предохранители на стороне высокого и низкого напряжения трансформаторов напряжения, к которым присоединены расчетные счетчики; - приспособления на рукоятках приводов разъединителей трансформаторов напряжения, к которым присоединены расчетные счетчики. IV. Требования к схемам включения Схемы включения электросчётчиков должны соответствовать схемам, </w:t>
      </w:r>
      <w:proofErr w:type="spellStart"/>
      <w:r>
        <w:t>привёденным</w:t>
      </w:r>
      <w:proofErr w:type="spellEnd"/>
      <w:r>
        <w:t xml:space="preserve"> производителем в паспортах на электросчетчики. Для безопасной </w:t>
      </w:r>
      <w:r>
        <w:lastRenderedPageBreak/>
        <w:t xml:space="preserve">установки и замены электросчетчиков непосредственного включения в сетях напряжением до 380 </w:t>
      </w:r>
      <w:proofErr w:type="gramStart"/>
      <w:r>
        <w:t>В</w:t>
      </w:r>
      <w:proofErr w:type="gramEnd"/>
      <w:r>
        <w:t xml:space="preserve"> должна предусматриваться возможность отключения электросчетчика установленными до него на расстоянии не более 10 м коммутационным аппаратом или предохранителями. Снятие напряжения должно предусматриваться со всех фаз, присоединяемых к электросчетчику. При расчетной нагрузке до 80 </w:t>
      </w:r>
      <w:proofErr w:type="gramStart"/>
      <w:r>
        <w:t>А</w:t>
      </w:r>
      <w:proofErr w:type="gramEnd"/>
      <w:r>
        <w:t xml:space="preserve"> необходимо использовать электросчетчики непосредственного включения. Внутридомовую сеть к электросчетчику непосредственного включения необходимо подключать к выходным (нагрузочным) клеммам счётчика в соответствии со схемой, указанной в паспорте применяемого счётчика. Для учета электропотребления </w:t>
      </w:r>
      <w:proofErr w:type="spellStart"/>
      <w:r>
        <w:t>электроприемников</w:t>
      </w:r>
      <w:proofErr w:type="spellEnd"/>
      <w:r>
        <w:t xml:space="preserve"> 1 категории надежности электроснабжения (АВР, ЦТП, ИТП, охранно-пожарная сигнализация, станции пожаротушения и т.д.) должны использоваться электросчетчики трансформаторного включения. Трансформаторы тока, используемые в составе измерительного комплекса для включения трехфазных электросчетчиков в сетях напряжением до 380 В, должны устанавливаться после коммутационных аппаратов (автоматических выключателей) по направлению потока мощности. При подключении трехфазных счетчиков через измерительные трансформаторы необходимо: - руководствоваться требованиями ПУЭ п.п.1.5.16 – 1.5.26; - выполнить расчет и произвести выбор трансформаторов тока с учетом фактической нагрузки; - измерительные цепи тока и напряжения вывести на специальные испытательные блоки, (испытательные коробки).</w:t>
      </w:r>
    </w:p>
    <w:sectPr w:rsidR="00B04694" w:rsidRPr="00A544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4E4"/>
    <w:rsid w:val="000913A4"/>
    <w:rsid w:val="004C7977"/>
    <w:rsid w:val="00600139"/>
    <w:rsid w:val="0079470B"/>
    <w:rsid w:val="00A544E4"/>
    <w:rsid w:val="00B04694"/>
    <w:rsid w:val="00CE0B3C"/>
    <w:rsid w:val="00D14E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3863B5-98A6-417A-9046-7D43E9B84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544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44E4"/>
    <w:rPr>
      <w:rFonts w:ascii="Times New Roman" w:eastAsia="Times New Roman" w:hAnsi="Times New Roman" w:cs="Times New Roman"/>
      <w:b/>
      <w:bCs/>
      <w:kern w:val="36"/>
      <w:sz w:val="48"/>
      <w:szCs w:val="48"/>
      <w:lang w:eastAsia="ru-RU"/>
    </w:rPr>
  </w:style>
  <w:style w:type="character" w:customStyle="1" w:styleId="blk">
    <w:name w:val="blk"/>
    <w:basedOn w:val="a0"/>
    <w:rsid w:val="00A544E4"/>
  </w:style>
  <w:style w:type="character" w:customStyle="1" w:styleId="hl">
    <w:name w:val="hl"/>
    <w:basedOn w:val="a0"/>
    <w:rsid w:val="00A544E4"/>
  </w:style>
  <w:style w:type="character" w:styleId="a3">
    <w:name w:val="Hyperlink"/>
    <w:basedOn w:val="a0"/>
    <w:uiPriority w:val="99"/>
    <w:semiHidden/>
    <w:unhideWhenUsed/>
    <w:rsid w:val="00A544E4"/>
    <w:rPr>
      <w:color w:val="0000FF"/>
      <w:u w:val="single"/>
    </w:rPr>
  </w:style>
  <w:style w:type="character" w:customStyle="1" w:styleId="nobr">
    <w:name w:val="nobr"/>
    <w:basedOn w:val="a0"/>
    <w:rsid w:val="00A54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646174">
      <w:bodyDiv w:val="1"/>
      <w:marLeft w:val="0"/>
      <w:marRight w:val="0"/>
      <w:marTop w:val="0"/>
      <w:marBottom w:val="0"/>
      <w:divBdr>
        <w:top w:val="none" w:sz="0" w:space="0" w:color="auto"/>
        <w:left w:val="none" w:sz="0" w:space="0" w:color="auto"/>
        <w:bottom w:val="none" w:sz="0" w:space="0" w:color="auto"/>
        <w:right w:val="none" w:sz="0" w:space="0" w:color="auto"/>
      </w:divBdr>
      <w:divsChild>
        <w:div w:id="362024180">
          <w:marLeft w:val="0"/>
          <w:marRight w:val="0"/>
          <w:marTop w:val="0"/>
          <w:marBottom w:val="0"/>
          <w:divBdr>
            <w:top w:val="none" w:sz="0" w:space="0" w:color="auto"/>
            <w:left w:val="none" w:sz="0" w:space="0" w:color="auto"/>
            <w:bottom w:val="none" w:sz="0" w:space="0" w:color="auto"/>
            <w:right w:val="none" w:sz="0" w:space="0" w:color="auto"/>
          </w:divBdr>
        </w:div>
        <w:div w:id="2028827529">
          <w:marLeft w:val="0"/>
          <w:marRight w:val="0"/>
          <w:marTop w:val="0"/>
          <w:marBottom w:val="0"/>
          <w:divBdr>
            <w:top w:val="none" w:sz="0" w:space="0" w:color="auto"/>
            <w:left w:val="none" w:sz="0" w:space="0" w:color="auto"/>
            <w:bottom w:val="none" w:sz="0" w:space="0" w:color="auto"/>
            <w:right w:val="none" w:sz="0" w:space="0" w:color="auto"/>
          </w:divBdr>
        </w:div>
        <w:div w:id="1716345034">
          <w:marLeft w:val="0"/>
          <w:marRight w:val="0"/>
          <w:marTop w:val="192"/>
          <w:marBottom w:val="0"/>
          <w:divBdr>
            <w:top w:val="none" w:sz="0" w:space="0" w:color="auto"/>
            <w:left w:val="none" w:sz="0" w:space="0" w:color="auto"/>
            <w:bottom w:val="none" w:sz="0" w:space="0" w:color="auto"/>
            <w:right w:val="none" w:sz="0" w:space="0" w:color="auto"/>
          </w:divBdr>
        </w:div>
        <w:div w:id="1828403191">
          <w:marLeft w:val="0"/>
          <w:marRight w:val="0"/>
          <w:marTop w:val="192"/>
          <w:marBottom w:val="0"/>
          <w:divBdr>
            <w:top w:val="none" w:sz="0" w:space="0" w:color="auto"/>
            <w:left w:val="none" w:sz="0" w:space="0" w:color="auto"/>
            <w:bottom w:val="none" w:sz="0" w:space="0" w:color="auto"/>
            <w:right w:val="none" w:sz="0" w:space="0" w:color="auto"/>
          </w:divBdr>
        </w:div>
        <w:div w:id="81993188">
          <w:marLeft w:val="0"/>
          <w:marRight w:val="0"/>
          <w:marTop w:val="192"/>
          <w:marBottom w:val="0"/>
          <w:divBdr>
            <w:top w:val="none" w:sz="0" w:space="0" w:color="auto"/>
            <w:left w:val="none" w:sz="0" w:space="0" w:color="auto"/>
            <w:bottom w:val="none" w:sz="0" w:space="0" w:color="auto"/>
            <w:right w:val="none" w:sz="0" w:space="0" w:color="auto"/>
          </w:divBdr>
        </w:div>
        <w:div w:id="1159267683">
          <w:marLeft w:val="0"/>
          <w:marRight w:val="0"/>
          <w:marTop w:val="192"/>
          <w:marBottom w:val="0"/>
          <w:divBdr>
            <w:top w:val="none" w:sz="0" w:space="0" w:color="auto"/>
            <w:left w:val="none" w:sz="0" w:space="0" w:color="auto"/>
            <w:bottom w:val="none" w:sz="0" w:space="0" w:color="auto"/>
            <w:right w:val="none" w:sz="0" w:space="0" w:color="auto"/>
          </w:divBdr>
        </w:div>
        <w:div w:id="672493224">
          <w:marLeft w:val="0"/>
          <w:marRight w:val="0"/>
          <w:marTop w:val="192"/>
          <w:marBottom w:val="0"/>
          <w:divBdr>
            <w:top w:val="none" w:sz="0" w:space="0" w:color="auto"/>
            <w:left w:val="none" w:sz="0" w:space="0" w:color="auto"/>
            <w:bottom w:val="none" w:sz="0" w:space="0" w:color="auto"/>
            <w:right w:val="none" w:sz="0" w:space="0" w:color="auto"/>
          </w:divBdr>
        </w:div>
        <w:div w:id="1387217529">
          <w:marLeft w:val="0"/>
          <w:marRight w:val="0"/>
          <w:marTop w:val="192"/>
          <w:marBottom w:val="0"/>
          <w:divBdr>
            <w:top w:val="none" w:sz="0" w:space="0" w:color="auto"/>
            <w:left w:val="none" w:sz="0" w:space="0" w:color="auto"/>
            <w:bottom w:val="none" w:sz="0" w:space="0" w:color="auto"/>
            <w:right w:val="none" w:sz="0" w:space="0" w:color="auto"/>
          </w:divBdr>
        </w:div>
        <w:div w:id="666132417">
          <w:marLeft w:val="0"/>
          <w:marRight w:val="0"/>
          <w:marTop w:val="192"/>
          <w:marBottom w:val="0"/>
          <w:divBdr>
            <w:top w:val="none" w:sz="0" w:space="0" w:color="auto"/>
            <w:left w:val="none" w:sz="0" w:space="0" w:color="auto"/>
            <w:bottom w:val="none" w:sz="0" w:space="0" w:color="auto"/>
            <w:right w:val="none" w:sz="0" w:space="0" w:color="auto"/>
          </w:divBdr>
        </w:div>
        <w:div w:id="320931898">
          <w:marLeft w:val="0"/>
          <w:marRight w:val="0"/>
          <w:marTop w:val="192"/>
          <w:marBottom w:val="0"/>
          <w:divBdr>
            <w:top w:val="none" w:sz="0" w:space="0" w:color="auto"/>
            <w:left w:val="none" w:sz="0" w:space="0" w:color="auto"/>
            <w:bottom w:val="none" w:sz="0" w:space="0" w:color="auto"/>
            <w:right w:val="none" w:sz="0" w:space="0" w:color="auto"/>
          </w:divBdr>
        </w:div>
        <w:div w:id="823164923">
          <w:marLeft w:val="0"/>
          <w:marRight w:val="0"/>
          <w:marTop w:val="192"/>
          <w:marBottom w:val="0"/>
          <w:divBdr>
            <w:top w:val="none" w:sz="0" w:space="0" w:color="auto"/>
            <w:left w:val="none" w:sz="0" w:space="0" w:color="auto"/>
            <w:bottom w:val="none" w:sz="0" w:space="0" w:color="auto"/>
            <w:right w:val="none" w:sz="0" w:space="0" w:color="auto"/>
          </w:divBdr>
        </w:div>
        <w:div w:id="2133789521">
          <w:marLeft w:val="0"/>
          <w:marRight w:val="0"/>
          <w:marTop w:val="192"/>
          <w:marBottom w:val="0"/>
          <w:divBdr>
            <w:top w:val="none" w:sz="0" w:space="0" w:color="auto"/>
            <w:left w:val="none" w:sz="0" w:space="0" w:color="auto"/>
            <w:bottom w:val="none" w:sz="0" w:space="0" w:color="auto"/>
            <w:right w:val="none" w:sz="0" w:space="0" w:color="auto"/>
          </w:divBdr>
        </w:div>
        <w:div w:id="500437301">
          <w:marLeft w:val="0"/>
          <w:marRight w:val="0"/>
          <w:marTop w:val="192"/>
          <w:marBottom w:val="0"/>
          <w:divBdr>
            <w:top w:val="none" w:sz="0" w:space="0" w:color="auto"/>
            <w:left w:val="none" w:sz="0" w:space="0" w:color="auto"/>
            <w:bottom w:val="none" w:sz="0" w:space="0" w:color="auto"/>
            <w:right w:val="none" w:sz="0" w:space="0" w:color="auto"/>
          </w:divBdr>
        </w:div>
        <w:div w:id="524441689">
          <w:marLeft w:val="0"/>
          <w:marRight w:val="0"/>
          <w:marTop w:val="192"/>
          <w:marBottom w:val="0"/>
          <w:divBdr>
            <w:top w:val="none" w:sz="0" w:space="0" w:color="auto"/>
            <w:left w:val="none" w:sz="0" w:space="0" w:color="auto"/>
            <w:bottom w:val="none" w:sz="0" w:space="0" w:color="auto"/>
            <w:right w:val="none" w:sz="0" w:space="0" w:color="auto"/>
          </w:divBdr>
        </w:div>
        <w:div w:id="1636332324">
          <w:marLeft w:val="0"/>
          <w:marRight w:val="0"/>
          <w:marTop w:val="192"/>
          <w:marBottom w:val="0"/>
          <w:divBdr>
            <w:top w:val="none" w:sz="0" w:space="0" w:color="auto"/>
            <w:left w:val="none" w:sz="0" w:space="0" w:color="auto"/>
            <w:bottom w:val="none" w:sz="0" w:space="0" w:color="auto"/>
            <w:right w:val="none" w:sz="0" w:space="0" w:color="auto"/>
          </w:divBdr>
        </w:div>
        <w:div w:id="1365905665">
          <w:marLeft w:val="0"/>
          <w:marRight w:val="0"/>
          <w:marTop w:val="192"/>
          <w:marBottom w:val="0"/>
          <w:divBdr>
            <w:top w:val="none" w:sz="0" w:space="0" w:color="auto"/>
            <w:left w:val="none" w:sz="0" w:space="0" w:color="auto"/>
            <w:bottom w:val="none" w:sz="0" w:space="0" w:color="auto"/>
            <w:right w:val="none" w:sz="0" w:space="0" w:color="auto"/>
          </w:divBdr>
        </w:div>
        <w:div w:id="1908880016">
          <w:marLeft w:val="0"/>
          <w:marRight w:val="0"/>
          <w:marTop w:val="192"/>
          <w:marBottom w:val="0"/>
          <w:divBdr>
            <w:top w:val="none" w:sz="0" w:space="0" w:color="auto"/>
            <w:left w:val="none" w:sz="0" w:space="0" w:color="auto"/>
            <w:bottom w:val="none" w:sz="0" w:space="0" w:color="auto"/>
            <w:right w:val="none" w:sz="0" w:space="0" w:color="auto"/>
          </w:divBdr>
        </w:div>
        <w:div w:id="2029865775">
          <w:marLeft w:val="0"/>
          <w:marRight w:val="0"/>
          <w:marTop w:val="0"/>
          <w:marBottom w:val="0"/>
          <w:divBdr>
            <w:top w:val="none" w:sz="0" w:space="0" w:color="auto"/>
            <w:left w:val="none" w:sz="0" w:space="0" w:color="auto"/>
            <w:bottom w:val="none" w:sz="0" w:space="0" w:color="auto"/>
            <w:right w:val="none" w:sz="0" w:space="0" w:color="auto"/>
          </w:divBdr>
          <w:divsChild>
            <w:div w:id="1419791131">
              <w:marLeft w:val="0"/>
              <w:marRight w:val="0"/>
              <w:marTop w:val="192"/>
              <w:marBottom w:val="0"/>
              <w:divBdr>
                <w:top w:val="none" w:sz="0" w:space="0" w:color="auto"/>
                <w:left w:val="none" w:sz="0" w:space="0" w:color="auto"/>
                <w:bottom w:val="none" w:sz="0" w:space="0" w:color="auto"/>
                <w:right w:val="none" w:sz="0" w:space="0" w:color="auto"/>
              </w:divBdr>
            </w:div>
          </w:divsChild>
        </w:div>
        <w:div w:id="2072463685">
          <w:marLeft w:val="0"/>
          <w:marRight w:val="0"/>
          <w:marTop w:val="192"/>
          <w:marBottom w:val="0"/>
          <w:divBdr>
            <w:top w:val="none" w:sz="0" w:space="0" w:color="auto"/>
            <w:left w:val="none" w:sz="0" w:space="0" w:color="auto"/>
            <w:bottom w:val="none" w:sz="0" w:space="0" w:color="auto"/>
            <w:right w:val="none" w:sz="0" w:space="0" w:color="auto"/>
          </w:divBdr>
        </w:div>
        <w:div w:id="1974213721">
          <w:marLeft w:val="0"/>
          <w:marRight w:val="0"/>
          <w:marTop w:val="192"/>
          <w:marBottom w:val="0"/>
          <w:divBdr>
            <w:top w:val="none" w:sz="0" w:space="0" w:color="auto"/>
            <w:left w:val="none" w:sz="0" w:space="0" w:color="auto"/>
            <w:bottom w:val="none" w:sz="0" w:space="0" w:color="auto"/>
            <w:right w:val="none" w:sz="0" w:space="0" w:color="auto"/>
          </w:divBdr>
        </w:div>
        <w:div w:id="576671644">
          <w:marLeft w:val="0"/>
          <w:marRight w:val="0"/>
          <w:marTop w:val="192"/>
          <w:marBottom w:val="0"/>
          <w:divBdr>
            <w:top w:val="none" w:sz="0" w:space="0" w:color="auto"/>
            <w:left w:val="none" w:sz="0" w:space="0" w:color="auto"/>
            <w:bottom w:val="none" w:sz="0" w:space="0" w:color="auto"/>
            <w:right w:val="none" w:sz="0" w:space="0" w:color="auto"/>
          </w:divBdr>
        </w:div>
        <w:div w:id="890070446">
          <w:marLeft w:val="0"/>
          <w:marRight w:val="0"/>
          <w:marTop w:val="192"/>
          <w:marBottom w:val="0"/>
          <w:divBdr>
            <w:top w:val="none" w:sz="0" w:space="0" w:color="auto"/>
            <w:left w:val="none" w:sz="0" w:space="0" w:color="auto"/>
            <w:bottom w:val="none" w:sz="0" w:space="0" w:color="auto"/>
            <w:right w:val="none" w:sz="0" w:space="0" w:color="auto"/>
          </w:divBdr>
        </w:div>
        <w:div w:id="1739669755">
          <w:marLeft w:val="0"/>
          <w:marRight w:val="0"/>
          <w:marTop w:val="192"/>
          <w:marBottom w:val="0"/>
          <w:divBdr>
            <w:top w:val="none" w:sz="0" w:space="0" w:color="auto"/>
            <w:left w:val="none" w:sz="0" w:space="0" w:color="auto"/>
            <w:bottom w:val="none" w:sz="0" w:space="0" w:color="auto"/>
            <w:right w:val="none" w:sz="0" w:space="0" w:color="auto"/>
          </w:divBdr>
        </w:div>
        <w:div w:id="2047483746">
          <w:marLeft w:val="0"/>
          <w:marRight w:val="0"/>
          <w:marTop w:val="192"/>
          <w:marBottom w:val="0"/>
          <w:divBdr>
            <w:top w:val="none" w:sz="0" w:space="0" w:color="auto"/>
            <w:left w:val="none" w:sz="0" w:space="0" w:color="auto"/>
            <w:bottom w:val="none" w:sz="0" w:space="0" w:color="auto"/>
            <w:right w:val="none" w:sz="0" w:space="0" w:color="auto"/>
          </w:divBdr>
        </w:div>
        <w:div w:id="339741030">
          <w:marLeft w:val="0"/>
          <w:marRight w:val="0"/>
          <w:marTop w:val="192"/>
          <w:marBottom w:val="0"/>
          <w:divBdr>
            <w:top w:val="none" w:sz="0" w:space="0" w:color="auto"/>
            <w:left w:val="none" w:sz="0" w:space="0" w:color="auto"/>
            <w:bottom w:val="none" w:sz="0" w:space="0" w:color="auto"/>
            <w:right w:val="none" w:sz="0" w:space="0" w:color="auto"/>
          </w:divBdr>
        </w:div>
        <w:div w:id="398480352">
          <w:marLeft w:val="0"/>
          <w:marRight w:val="0"/>
          <w:marTop w:val="192"/>
          <w:marBottom w:val="0"/>
          <w:divBdr>
            <w:top w:val="none" w:sz="0" w:space="0" w:color="auto"/>
            <w:left w:val="none" w:sz="0" w:space="0" w:color="auto"/>
            <w:bottom w:val="none" w:sz="0" w:space="0" w:color="auto"/>
            <w:right w:val="none" w:sz="0" w:space="0" w:color="auto"/>
          </w:divBdr>
        </w:div>
        <w:div w:id="1320422561">
          <w:marLeft w:val="0"/>
          <w:marRight w:val="0"/>
          <w:marTop w:val="192"/>
          <w:marBottom w:val="0"/>
          <w:divBdr>
            <w:top w:val="none" w:sz="0" w:space="0" w:color="auto"/>
            <w:left w:val="none" w:sz="0" w:space="0" w:color="auto"/>
            <w:bottom w:val="none" w:sz="0" w:space="0" w:color="auto"/>
            <w:right w:val="none" w:sz="0" w:space="0" w:color="auto"/>
          </w:divBdr>
        </w:div>
        <w:div w:id="2093886818">
          <w:marLeft w:val="0"/>
          <w:marRight w:val="0"/>
          <w:marTop w:val="192"/>
          <w:marBottom w:val="0"/>
          <w:divBdr>
            <w:top w:val="none" w:sz="0" w:space="0" w:color="auto"/>
            <w:left w:val="none" w:sz="0" w:space="0" w:color="auto"/>
            <w:bottom w:val="none" w:sz="0" w:space="0" w:color="auto"/>
            <w:right w:val="none" w:sz="0" w:space="0" w:color="auto"/>
          </w:divBdr>
        </w:div>
        <w:div w:id="995260055">
          <w:marLeft w:val="0"/>
          <w:marRight w:val="0"/>
          <w:marTop w:val="0"/>
          <w:marBottom w:val="0"/>
          <w:divBdr>
            <w:top w:val="none" w:sz="0" w:space="0" w:color="auto"/>
            <w:left w:val="none" w:sz="0" w:space="0" w:color="auto"/>
            <w:bottom w:val="none" w:sz="0" w:space="0" w:color="auto"/>
            <w:right w:val="none" w:sz="0" w:space="0" w:color="auto"/>
          </w:divBdr>
          <w:divsChild>
            <w:div w:id="468086026">
              <w:marLeft w:val="0"/>
              <w:marRight w:val="0"/>
              <w:marTop w:val="192"/>
              <w:marBottom w:val="0"/>
              <w:divBdr>
                <w:top w:val="none" w:sz="0" w:space="0" w:color="auto"/>
                <w:left w:val="none" w:sz="0" w:space="0" w:color="auto"/>
                <w:bottom w:val="none" w:sz="0" w:space="0" w:color="auto"/>
                <w:right w:val="none" w:sz="0" w:space="0" w:color="auto"/>
              </w:divBdr>
            </w:div>
          </w:divsChild>
        </w:div>
        <w:div w:id="742795984">
          <w:marLeft w:val="0"/>
          <w:marRight w:val="0"/>
          <w:marTop w:val="192"/>
          <w:marBottom w:val="0"/>
          <w:divBdr>
            <w:top w:val="none" w:sz="0" w:space="0" w:color="auto"/>
            <w:left w:val="none" w:sz="0" w:space="0" w:color="auto"/>
            <w:bottom w:val="none" w:sz="0" w:space="0" w:color="auto"/>
            <w:right w:val="none" w:sz="0" w:space="0" w:color="auto"/>
          </w:divBdr>
        </w:div>
        <w:div w:id="619383658">
          <w:marLeft w:val="0"/>
          <w:marRight w:val="0"/>
          <w:marTop w:val="0"/>
          <w:marBottom w:val="0"/>
          <w:divBdr>
            <w:top w:val="none" w:sz="0" w:space="0" w:color="auto"/>
            <w:left w:val="none" w:sz="0" w:space="0" w:color="auto"/>
            <w:bottom w:val="none" w:sz="0" w:space="0" w:color="auto"/>
            <w:right w:val="none" w:sz="0" w:space="0" w:color="auto"/>
          </w:divBdr>
          <w:divsChild>
            <w:div w:id="50036659">
              <w:marLeft w:val="0"/>
              <w:marRight w:val="0"/>
              <w:marTop w:val="192"/>
              <w:marBottom w:val="0"/>
              <w:divBdr>
                <w:top w:val="none" w:sz="0" w:space="0" w:color="auto"/>
                <w:left w:val="none" w:sz="0" w:space="0" w:color="auto"/>
                <w:bottom w:val="none" w:sz="0" w:space="0" w:color="auto"/>
                <w:right w:val="none" w:sz="0" w:space="0" w:color="auto"/>
              </w:divBdr>
            </w:div>
          </w:divsChild>
        </w:div>
        <w:div w:id="2143420963">
          <w:marLeft w:val="0"/>
          <w:marRight w:val="0"/>
          <w:marTop w:val="192"/>
          <w:marBottom w:val="0"/>
          <w:divBdr>
            <w:top w:val="none" w:sz="0" w:space="0" w:color="auto"/>
            <w:left w:val="none" w:sz="0" w:space="0" w:color="auto"/>
            <w:bottom w:val="none" w:sz="0" w:space="0" w:color="auto"/>
            <w:right w:val="none" w:sz="0" w:space="0" w:color="auto"/>
          </w:divBdr>
        </w:div>
        <w:div w:id="1156648585">
          <w:marLeft w:val="0"/>
          <w:marRight w:val="0"/>
          <w:marTop w:val="0"/>
          <w:marBottom w:val="0"/>
          <w:divBdr>
            <w:top w:val="none" w:sz="0" w:space="0" w:color="auto"/>
            <w:left w:val="none" w:sz="0" w:space="0" w:color="auto"/>
            <w:bottom w:val="none" w:sz="0" w:space="0" w:color="auto"/>
            <w:right w:val="none" w:sz="0" w:space="0" w:color="auto"/>
          </w:divBdr>
          <w:divsChild>
            <w:div w:id="2103062520">
              <w:marLeft w:val="0"/>
              <w:marRight w:val="0"/>
              <w:marTop w:val="192"/>
              <w:marBottom w:val="0"/>
              <w:divBdr>
                <w:top w:val="none" w:sz="0" w:space="0" w:color="auto"/>
                <w:left w:val="none" w:sz="0" w:space="0" w:color="auto"/>
                <w:bottom w:val="none" w:sz="0" w:space="0" w:color="auto"/>
                <w:right w:val="none" w:sz="0" w:space="0" w:color="auto"/>
              </w:divBdr>
            </w:div>
          </w:divsChild>
        </w:div>
        <w:div w:id="682437733">
          <w:marLeft w:val="0"/>
          <w:marRight w:val="0"/>
          <w:marTop w:val="192"/>
          <w:marBottom w:val="0"/>
          <w:divBdr>
            <w:top w:val="none" w:sz="0" w:space="0" w:color="auto"/>
            <w:left w:val="none" w:sz="0" w:space="0" w:color="auto"/>
            <w:bottom w:val="none" w:sz="0" w:space="0" w:color="auto"/>
            <w:right w:val="none" w:sz="0" w:space="0" w:color="auto"/>
          </w:divBdr>
        </w:div>
        <w:div w:id="1045567181">
          <w:marLeft w:val="0"/>
          <w:marRight w:val="0"/>
          <w:marTop w:val="192"/>
          <w:marBottom w:val="0"/>
          <w:divBdr>
            <w:top w:val="none" w:sz="0" w:space="0" w:color="auto"/>
            <w:left w:val="none" w:sz="0" w:space="0" w:color="auto"/>
            <w:bottom w:val="none" w:sz="0" w:space="0" w:color="auto"/>
            <w:right w:val="none" w:sz="0" w:space="0" w:color="auto"/>
          </w:divBdr>
        </w:div>
        <w:div w:id="1218709495">
          <w:marLeft w:val="0"/>
          <w:marRight w:val="0"/>
          <w:marTop w:val="192"/>
          <w:marBottom w:val="0"/>
          <w:divBdr>
            <w:top w:val="none" w:sz="0" w:space="0" w:color="auto"/>
            <w:left w:val="none" w:sz="0" w:space="0" w:color="auto"/>
            <w:bottom w:val="none" w:sz="0" w:space="0" w:color="auto"/>
            <w:right w:val="none" w:sz="0" w:space="0" w:color="auto"/>
          </w:divBdr>
        </w:div>
        <w:div w:id="1288655903">
          <w:marLeft w:val="0"/>
          <w:marRight w:val="0"/>
          <w:marTop w:val="0"/>
          <w:marBottom w:val="0"/>
          <w:divBdr>
            <w:top w:val="none" w:sz="0" w:space="0" w:color="auto"/>
            <w:left w:val="none" w:sz="0" w:space="0" w:color="auto"/>
            <w:bottom w:val="none" w:sz="0" w:space="0" w:color="auto"/>
            <w:right w:val="none" w:sz="0" w:space="0" w:color="auto"/>
          </w:divBdr>
          <w:divsChild>
            <w:div w:id="737360428">
              <w:marLeft w:val="0"/>
              <w:marRight w:val="0"/>
              <w:marTop w:val="192"/>
              <w:marBottom w:val="0"/>
              <w:divBdr>
                <w:top w:val="none" w:sz="0" w:space="0" w:color="auto"/>
                <w:left w:val="none" w:sz="0" w:space="0" w:color="auto"/>
                <w:bottom w:val="none" w:sz="0" w:space="0" w:color="auto"/>
                <w:right w:val="none" w:sz="0" w:space="0" w:color="auto"/>
              </w:divBdr>
            </w:div>
          </w:divsChild>
        </w:div>
        <w:div w:id="1183546723">
          <w:marLeft w:val="0"/>
          <w:marRight w:val="0"/>
          <w:marTop w:val="0"/>
          <w:marBottom w:val="0"/>
          <w:divBdr>
            <w:top w:val="none" w:sz="0" w:space="0" w:color="auto"/>
            <w:left w:val="none" w:sz="0" w:space="0" w:color="auto"/>
            <w:bottom w:val="none" w:sz="0" w:space="0" w:color="auto"/>
            <w:right w:val="none" w:sz="0" w:space="0" w:color="auto"/>
          </w:divBdr>
        </w:div>
        <w:div w:id="1920095732">
          <w:marLeft w:val="0"/>
          <w:marRight w:val="0"/>
          <w:marTop w:val="192"/>
          <w:marBottom w:val="0"/>
          <w:divBdr>
            <w:top w:val="none" w:sz="0" w:space="0" w:color="auto"/>
            <w:left w:val="none" w:sz="0" w:space="0" w:color="auto"/>
            <w:bottom w:val="none" w:sz="0" w:space="0" w:color="auto"/>
            <w:right w:val="none" w:sz="0" w:space="0" w:color="auto"/>
          </w:divBdr>
        </w:div>
        <w:div w:id="413674469">
          <w:marLeft w:val="0"/>
          <w:marRight w:val="0"/>
          <w:marTop w:val="192"/>
          <w:marBottom w:val="0"/>
          <w:divBdr>
            <w:top w:val="none" w:sz="0" w:space="0" w:color="auto"/>
            <w:left w:val="none" w:sz="0" w:space="0" w:color="auto"/>
            <w:bottom w:val="none" w:sz="0" w:space="0" w:color="auto"/>
            <w:right w:val="none" w:sz="0" w:space="0" w:color="auto"/>
          </w:divBdr>
        </w:div>
        <w:div w:id="2122414812">
          <w:marLeft w:val="0"/>
          <w:marRight w:val="0"/>
          <w:marTop w:val="192"/>
          <w:marBottom w:val="0"/>
          <w:divBdr>
            <w:top w:val="none" w:sz="0" w:space="0" w:color="auto"/>
            <w:left w:val="none" w:sz="0" w:space="0" w:color="auto"/>
            <w:bottom w:val="none" w:sz="0" w:space="0" w:color="auto"/>
            <w:right w:val="none" w:sz="0" w:space="0" w:color="auto"/>
          </w:divBdr>
        </w:div>
        <w:div w:id="2003965255">
          <w:marLeft w:val="0"/>
          <w:marRight w:val="0"/>
          <w:marTop w:val="192"/>
          <w:marBottom w:val="0"/>
          <w:divBdr>
            <w:top w:val="none" w:sz="0" w:space="0" w:color="auto"/>
            <w:left w:val="none" w:sz="0" w:space="0" w:color="auto"/>
            <w:bottom w:val="none" w:sz="0" w:space="0" w:color="auto"/>
            <w:right w:val="none" w:sz="0" w:space="0" w:color="auto"/>
          </w:divBdr>
        </w:div>
        <w:div w:id="1286306441">
          <w:marLeft w:val="0"/>
          <w:marRight w:val="0"/>
          <w:marTop w:val="192"/>
          <w:marBottom w:val="0"/>
          <w:divBdr>
            <w:top w:val="none" w:sz="0" w:space="0" w:color="auto"/>
            <w:left w:val="none" w:sz="0" w:space="0" w:color="auto"/>
            <w:bottom w:val="none" w:sz="0" w:space="0" w:color="auto"/>
            <w:right w:val="none" w:sz="0" w:space="0" w:color="auto"/>
          </w:divBdr>
        </w:div>
        <w:div w:id="412773985">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78962/f7e45d62c761d80c96cf15943de9a3bd8363ac90/" TargetMode="External"/><Relationship Id="rId13" Type="http://schemas.openxmlformats.org/officeDocument/2006/relationships/hyperlink" Target="http://www.consultant.ru/document/cons_doc_LAW_378961/80731d6ec14aa3ce59d19e75b8d02c486db6fdab/" TargetMode="External"/><Relationship Id="rId3" Type="http://schemas.openxmlformats.org/officeDocument/2006/relationships/webSettings" Target="webSettings.xml"/><Relationship Id="rId7" Type="http://schemas.openxmlformats.org/officeDocument/2006/relationships/hyperlink" Target="http://www.consultant.ru/document/cons_doc_LAW_378962/f7e45d62c761d80c96cf15943de9a3bd8363ac90/" TargetMode="External"/><Relationship Id="rId12" Type="http://schemas.openxmlformats.org/officeDocument/2006/relationships/hyperlink" Target="http://www.consultant.ru/document/cons_doc_LAW_371976/46b054522a7dcac3af042751dbdccaf62525b238/"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onsultant.ru/document/cons_doc_LAW_366150/3bfb763ea01f7fc945dd7b589037fea5b6c90643/" TargetMode="External"/><Relationship Id="rId11" Type="http://schemas.openxmlformats.org/officeDocument/2006/relationships/hyperlink" Target="http://www.consultant.ru/document/cons_doc_LAW_371976/46b054522a7dcac3af042751dbdccaf62525b238/" TargetMode="External"/><Relationship Id="rId5" Type="http://schemas.openxmlformats.org/officeDocument/2006/relationships/hyperlink" Target="http://www.consultant.ru/document/cons_doc_LAW_358885/" TargetMode="External"/><Relationship Id="rId15" Type="http://schemas.openxmlformats.org/officeDocument/2006/relationships/hyperlink" Target="http://www.consultant.ru/document/cons_doc_LAW_371976/46b054522a7dcac3af042751dbdccaf62525b238/" TargetMode="External"/><Relationship Id="rId10" Type="http://schemas.openxmlformats.org/officeDocument/2006/relationships/hyperlink" Target="http://www.consultant.ru/document/cons_doc_LAW_371976/46b054522a7dcac3af042751dbdccaf62525b238/" TargetMode="External"/><Relationship Id="rId4" Type="http://schemas.openxmlformats.org/officeDocument/2006/relationships/hyperlink" Target="http://www.consultant.ru/document/cons_doc_LAW_351023/84fea471f8046abd299582d0c6ef9be268e9404f/" TargetMode="External"/><Relationship Id="rId9" Type="http://schemas.openxmlformats.org/officeDocument/2006/relationships/hyperlink" Target="http://www.consultant.ru/document/cons_doc_LAW_371976/46b054522a7dcac3af042751dbdccaf62525b238/" TargetMode="External"/><Relationship Id="rId14" Type="http://schemas.openxmlformats.org/officeDocument/2006/relationships/hyperlink" Target="http://www.consultant.ru/document/cons_doc_LAW_372114/5cf969351483ee29a815e8bfd3bcd36fa1aa1aa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576</TotalTime>
  <Pages>10</Pages>
  <Words>3637</Words>
  <Characters>20732</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 Сергей Львович</dc:creator>
  <cp:keywords/>
  <dc:description/>
  <cp:lastModifiedBy>Иванов Сергей Львович</cp:lastModifiedBy>
  <cp:revision>3</cp:revision>
  <dcterms:created xsi:type="dcterms:W3CDTF">2021-04-22T04:47:00Z</dcterms:created>
  <dcterms:modified xsi:type="dcterms:W3CDTF">2021-04-26T10:48:00Z</dcterms:modified>
</cp:coreProperties>
</file>